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B489" w14:textId="4365DFCB" w:rsidR="0025166B" w:rsidRPr="005E08D8" w:rsidRDefault="00D417F9" w:rsidP="00F71AB9">
      <w:pPr>
        <w:spacing w:after="0" w:line="240" w:lineRule="auto"/>
        <w:contextualSpacing/>
        <w:jc w:val="right"/>
        <w:rPr>
          <w:rFonts w:ascii="Arial" w:hAnsi="Arial" w:cs="Arial"/>
        </w:rPr>
      </w:pPr>
      <w:r w:rsidRPr="005E08D8">
        <w:rPr>
          <w:rFonts w:ascii="Arial" w:hAnsi="Arial" w:cs="Arial"/>
          <w:noProof/>
        </w:rPr>
        <w:drawing>
          <wp:inline distT="0" distB="0" distL="0" distR="0" wp14:anchorId="196EEEF3" wp14:editId="674E18F2">
            <wp:extent cx="1242574" cy="446450"/>
            <wp:effectExtent l="0" t="0" r="0" b="0"/>
            <wp:docPr id="933002849" name="Picture 93300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002849" name="Picture 9330028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4476" cy="457912"/>
                    </a:xfrm>
                    <a:prstGeom prst="rect">
                      <a:avLst/>
                    </a:prstGeom>
                  </pic:spPr>
                </pic:pic>
              </a:graphicData>
            </a:graphic>
          </wp:inline>
        </w:drawing>
      </w:r>
    </w:p>
    <w:p w14:paraId="53CE4D72" w14:textId="0C5F9FC1" w:rsidR="00D417F9" w:rsidRPr="005E08D8" w:rsidRDefault="002A0B20" w:rsidP="00F71AB9">
      <w:pPr>
        <w:spacing w:after="0" w:line="240" w:lineRule="auto"/>
        <w:contextualSpacing/>
        <w:rPr>
          <w:rFonts w:ascii="Arial" w:hAnsi="Arial" w:cs="Arial"/>
          <w:b/>
          <w:bCs/>
        </w:rPr>
      </w:pPr>
      <w:r w:rsidRPr="005E08D8">
        <w:rPr>
          <w:rFonts w:ascii="Arial" w:hAnsi="Arial" w:cs="Arial"/>
          <w:b/>
          <w:bCs/>
        </w:rPr>
        <w:t>Date:</w:t>
      </w:r>
      <w:r w:rsidRPr="005E08D8">
        <w:rPr>
          <w:rFonts w:ascii="Arial" w:hAnsi="Arial" w:cs="Arial"/>
          <w:b/>
          <w:bCs/>
        </w:rPr>
        <w:tab/>
      </w:r>
      <w:r w:rsidR="00AF1B76" w:rsidRPr="005E08D8">
        <w:rPr>
          <w:rFonts w:ascii="Arial" w:hAnsi="Arial" w:cs="Arial"/>
        </w:rPr>
        <w:t xml:space="preserve">December </w:t>
      </w:r>
      <w:r w:rsidR="00321D8E">
        <w:rPr>
          <w:rFonts w:ascii="Arial" w:hAnsi="Arial" w:cs="Arial"/>
        </w:rPr>
        <w:t>6</w:t>
      </w:r>
      <w:r w:rsidR="00D417F9" w:rsidRPr="005E08D8">
        <w:rPr>
          <w:rFonts w:ascii="Arial" w:hAnsi="Arial" w:cs="Arial"/>
        </w:rPr>
        <w:t>, 2023</w:t>
      </w:r>
    </w:p>
    <w:p w14:paraId="19368D9E" w14:textId="1EA2823F" w:rsidR="00D417F9" w:rsidRPr="005E08D8" w:rsidRDefault="00D417F9" w:rsidP="00F71AB9">
      <w:pPr>
        <w:spacing w:after="0" w:line="240" w:lineRule="auto"/>
        <w:contextualSpacing/>
        <w:rPr>
          <w:rFonts w:ascii="Arial" w:hAnsi="Arial" w:cs="Arial"/>
          <w:b/>
          <w:bCs/>
        </w:rPr>
      </w:pPr>
      <w:r w:rsidRPr="005E08D8">
        <w:rPr>
          <w:rFonts w:ascii="Arial" w:hAnsi="Arial" w:cs="Arial"/>
          <w:b/>
          <w:bCs/>
        </w:rPr>
        <w:t>To:</w:t>
      </w:r>
      <w:r w:rsidRPr="005E08D8">
        <w:rPr>
          <w:rFonts w:ascii="Arial" w:hAnsi="Arial" w:cs="Arial"/>
          <w:b/>
          <w:bCs/>
        </w:rPr>
        <w:tab/>
      </w:r>
      <w:r w:rsidR="00AF1B76" w:rsidRPr="005E08D8">
        <w:rPr>
          <w:rFonts w:ascii="Arial" w:hAnsi="Arial" w:cs="Arial"/>
        </w:rPr>
        <w:t>Interested Parties</w:t>
      </w:r>
      <w:r w:rsidRPr="005E08D8">
        <w:rPr>
          <w:rFonts w:ascii="Arial" w:hAnsi="Arial" w:cs="Arial"/>
          <w:b/>
          <w:bCs/>
        </w:rPr>
        <w:t xml:space="preserve"> </w:t>
      </w:r>
    </w:p>
    <w:p w14:paraId="6A807FA6" w14:textId="673A0479" w:rsidR="00D417F9" w:rsidRPr="005E08D8" w:rsidRDefault="00D417F9" w:rsidP="00F71AB9">
      <w:pPr>
        <w:spacing w:after="0" w:line="240" w:lineRule="auto"/>
        <w:contextualSpacing/>
        <w:rPr>
          <w:rFonts w:ascii="Arial" w:hAnsi="Arial" w:cs="Arial"/>
        </w:rPr>
      </w:pPr>
      <w:r w:rsidRPr="005E08D8">
        <w:rPr>
          <w:rFonts w:ascii="Arial" w:hAnsi="Arial" w:cs="Arial"/>
          <w:b/>
          <w:bCs/>
        </w:rPr>
        <w:t>From:</w:t>
      </w:r>
      <w:r w:rsidRPr="005E08D8">
        <w:rPr>
          <w:rFonts w:ascii="Arial" w:hAnsi="Arial" w:cs="Arial"/>
          <w:b/>
          <w:bCs/>
        </w:rPr>
        <w:tab/>
      </w:r>
      <w:r w:rsidRPr="005E08D8">
        <w:rPr>
          <w:rFonts w:ascii="Arial" w:hAnsi="Arial" w:cs="Arial"/>
        </w:rPr>
        <w:t>Nicholas Thompson, Tanner DeYoung</w:t>
      </w:r>
    </w:p>
    <w:p w14:paraId="6B2B1439" w14:textId="5E9252FE" w:rsidR="00D417F9" w:rsidRPr="005E08D8" w:rsidRDefault="00D417F9" w:rsidP="00F71AB9">
      <w:pPr>
        <w:spacing w:after="0" w:line="240" w:lineRule="auto"/>
        <w:contextualSpacing/>
        <w:rPr>
          <w:rFonts w:ascii="Arial" w:hAnsi="Arial" w:cs="Arial"/>
          <w:b/>
          <w:bCs/>
        </w:rPr>
      </w:pPr>
      <w:r w:rsidRPr="005E08D8">
        <w:rPr>
          <w:rFonts w:ascii="Arial" w:hAnsi="Arial" w:cs="Arial"/>
          <w:b/>
          <w:bCs/>
        </w:rPr>
        <w:t>Re:</w:t>
      </w:r>
      <w:r w:rsidRPr="005E08D8">
        <w:rPr>
          <w:rFonts w:ascii="Arial" w:hAnsi="Arial" w:cs="Arial"/>
          <w:b/>
          <w:bCs/>
        </w:rPr>
        <w:tab/>
      </w:r>
      <w:r w:rsidR="00AF1B76" w:rsidRPr="005E08D8">
        <w:rPr>
          <w:rFonts w:ascii="Arial" w:hAnsi="Arial" w:cs="Arial"/>
        </w:rPr>
        <w:t xml:space="preserve">Mississippians </w:t>
      </w:r>
      <w:r w:rsidR="00185E77" w:rsidRPr="005E08D8">
        <w:rPr>
          <w:rFonts w:ascii="Arial" w:hAnsi="Arial" w:cs="Arial"/>
        </w:rPr>
        <w:t>Support School Choice</w:t>
      </w:r>
      <w:r w:rsidR="00185E77" w:rsidRPr="005E08D8">
        <w:rPr>
          <w:rFonts w:ascii="Arial" w:hAnsi="Arial" w:cs="Arial"/>
          <w:b/>
          <w:bCs/>
        </w:rPr>
        <w:t xml:space="preserve"> </w:t>
      </w:r>
    </w:p>
    <w:p w14:paraId="6E210068" w14:textId="77777777" w:rsidR="00D417F9" w:rsidRPr="005E08D8" w:rsidRDefault="00D417F9" w:rsidP="00F71AB9">
      <w:pPr>
        <w:pBdr>
          <w:bottom w:val="single" w:sz="4" w:space="1" w:color="auto"/>
        </w:pBdr>
        <w:spacing w:after="0" w:line="240" w:lineRule="auto"/>
        <w:contextualSpacing/>
        <w:rPr>
          <w:rFonts w:ascii="Arial" w:hAnsi="Arial" w:cs="Arial"/>
        </w:rPr>
      </w:pPr>
    </w:p>
    <w:p w14:paraId="042EFDD1" w14:textId="77777777" w:rsidR="00D417F9" w:rsidRPr="005E08D8" w:rsidRDefault="00D417F9" w:rsidP="00F71AB9">
      <w:pPr>
        <w:spacing w:after="0" w:line="240" w:lineRule="auto"/>
        <w:contextualSpacing/>
        <w:rPr>
          <w:rFonts w:ascii="Arial" w:hAnsi="Arial" w:cs="Arial"/>
        </w:rPr>
      </w:pPr>
    </w:p>
    <w:p w14:paraId="0DCB0E10" w14:textId="75FFB581" w:rsidR="00D417F9" w:rsidRPr="005E08D8" w:rsidRDefault="00185E77" w:rsidP="00F71AB9">
      <w:pPr>
        <w:spacing w:after="0" w:line="240" w:lineRule="auto"/>
        <w:contextualSpacing/>
        <w:rPr>
          <w:rFonts w:ascii="Arial" w:hAnsi="Arial" w:cs="Arial"/>
        </w:rPr>
      </w:pPr>
      <w:r w:rsidRPr="4F515F8F">
        <w:rPr>
          <w:rFonts w:ascii="Arial" w:hAnsi="Arial" w:cs="Arial"/>
        </w:rPr>
        <w:t>A new poll by Arc Insights on behalf of yes. every kid. foundation</w:t>
      </w:r>
      <w:r w:rsidR="00276EA2" w:rsidRPr="4F515F8F">
        <w:rPr>
          <w:rFonts w:ascii="Arial" w:hAnsi="Arial" w:cs="Arial"/>
        </w:rPr>
        <w:t>.</w:t>
      </w:r>
      <w:r w:rsidRPr="4F515F8F">
        <w:rPr>
          <w:rFonts w:ascii="Arial" w:hAnsi="Arial" w:cs="Arial"/>
        </w:rPr>
        <w:t xml:space="preserve"> </w:t>
      </w:r>
      <w:r w:rsidR="00A473BB" w:rsidRPr="4F515F8F">
        <w:rPr>
          <w:rFonts w:ascii="Arial" w:hAnsi="Arial" w:cs="Arial"/>
        </w:rPr>
        <w:t xml:space="preserve">finds </w:t>
      </w:r>
      <w:r w:rsidRPr="4F515F8F">
        <w:rPr>
          <w:rFonts w:ascii="Arial" w:hAnsi="Arial" w:cs="Arial"/>
        </w:rPr>
        <w:t>that voters in Mississippi overwhelmingly support school choic</w:t>
      </w:r>
      <w:r w:rsidR="00903B9E" w:rsidRPr="4F515F8F">
        <w:rPr>
          <w:rFonts w:ascii="Arial" w:hAnsi="Arial" w:cs="Arial"/>
        </w:rPr>
        <w:t xml:space="preserve">e, including </w:t>
      </w:r>
      <w:r w:rsidR="004C5761">
        <w:rPr>
          <w:rFonts w:ascii="Arial" w:hAnsi="Arial" w:cs="Arial"/>
        </w:rPr>
        <w:t xml:space="preserve">universal </w:t>
      </w:r>
      <w:r w:rsidR="00903B9E" w:rsidRPr="4F515F8F">
        <w:rPr>
          <w:rFonts w:ascii="Arial" w:hAnsi="Arial" w:cs="Arial"/>
        </w:rPr>
        <w:t>Education Savings Accounts</w:t>
      </w:r>
      <w:r w:rsidR="004C5761">
        <w:rPr>
          <w:rFonts w:ascii="Arial" w:hAnsi="Arial" w:cs="Arial"/>
        </w:rPr>
        <w:t xml:space="preserve"> and open enrollment</w:t>
      </w:r>
      <w:r w:rsidR="00903B9E" w:rsidRPr="4F515F8F">
        <w:rPr>
          <w:rFonts w:ascii="Arial" w:hAnsi="Arial" w:cs="Arial"/>
        </w:rPr>
        <w:t>.</w:t>
      </w:r>
    </w:p>
    <w:p w14:paraId="1C19A291" w14:textId="6B04E881" w:rsidR="00486A63" w:rsidRDefault="00B13E8F" w:rsidP="00F71AB9">
      <w:pPr>
        <w:spacing w:after="0" w:line="240" w:lineRule="auto"/>
        <w:contextualSpacing/>
        <w:rPr>
          <w:rFonts w:ascii="Arial" w:hAnsi="Arial" w:cs="Arial"/>
        </w:rPr>
      </w:pPr>
      <w:r>
        <w:rPr>
          <w:rFonts w:ascii="Arial" w:hAnsi="Arial" w:cs="Arial"/>
          <w:noProof/>
        </w:rPr>
        <w:drawing>
          <wp:anchor distT="0" distB="0" distL="114300" distR="114300" simplePos="0" relativeHeight="251658240" behindDoc="0" locked="0" layoutInCell="1" allowOverlap="1" wp14:anchorId="65E5B7D9" wp14:editId="246F6B2E">
            <wp:simplePos x="0" y="0"/>
            <wp:positionH relativeFrom="margin">
              <wp:posOffset>369570</wp:posOffset>
            </wp:positionH>
            <wp:positionV relativeFrom="paragraph">
              <wp:posOffset>119601</wp:posOffset>
            </wp:positionV>
            <wp:extent cx="5938520" cy="2281555"/>
            <wp:effectExtent l="0" t="0" r="0" b="0"/>
            <wp:wrapSquare wrapText="bothSides"/>
            <wp:docPr id="38607823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B9524F7" w14:textId="5DA70202" w:rsidR="00D417F9" w:rsidRDefault="00D417F9" w:rsidP="00F71AB9">
      <w:pPr>
        <w:spacing w:after="0" w:line="240" w:lineRule="auto"/>
        <w:contextualSpacing/>
        <w:rPr>
          <w:rFonts w:ascii="Arial" w:hAnsi="Arial" w:cs="Arial"/>
        </w:rPr>
      </w:pPr>
    </w:p>
    <w:p w14:paraId="07DEF98F" w14:textId="33B85679" w:rsidR="00D417F9" w:rsidRDefault="00D417F9" w:rsidP="00F71AB9">
      <w:pPr>
        <w:spacing w:after="0" w:line="240" w:lineRule="auto"/>
        <w:contextualSpacing/>
        <w:rPr>
          <w:rFonts w:ascii="Arial" w:hAnsi="Arial" w:cs="Arial"/>
        </w:rPr>
      </w:pPr>
    </w:p>
    <w:p w14:paraId="6FE2C3BE" w14:textId="34726FF2" w:rsidR="00486A63" w:rsidRDefault="00486A63" w:rsidP="00F71AB9">
      <w:pPr>
        <w:spacing w:after="0" w:line="240" w:lineRule="auto"/>
        <w:contextualSpacing/>
        <w:rPr>
          <w:rFonts w:ascii="Arial" w:hAnsi="Arial" w:cs="Arial"/>
        </w:rPr>
      </w:pPr>
    </w:p>
    <w:p w14:paraId="6118D313" w14:textId="757593AD" w:rsidR="00486A63" w:rsidRDefault="00486A63" w:rsidP="00F71AB9">
      <w:pPr>
        <w:spacing w:after="0" w:line="240" w:lineRule="auto"/>
        <w:contextualSpacing/>
        <w:rPr>
          <w:rFonts w:ascii="Arial" w:hAnsi="Arial" w:cs="Arial"/>
        </w:rPr>
      </w:pPr>
    </w:p>
    <w:p w14:paraId="43C3E638" w14:textId="2AB7C691" w:rsidR="00486A63" w:rsidRDefault="00486A63" w:rsidP="00F71AB9">
      <w:pPr>
        <w:spacing w:after="0" w:line="240" w:lineRule="auto"/>
        <w:contextualSpacing/>
        <w:rPr>
          <w:rFonts w:ascii="Arial" w:hAnsi="Arial" w:cs="Arial"/>
        </w:rPr>
      </w:pPr>
    </w:p>
    <w:p w14:paraId="5EF3CBCD" w14:textId="7AE144EB" w:rsidR="00AD60EA" w:rsidRDefault="00AD60EA" w:rsidP="00F71AB9">
      <w:pPr>
        <w:spacing w:after="0" w:line="240" w:lineRule="auto"/>
        <w:contextualSpacing/>
        <w:rPr>
          <w:rFonts w:ascii="Arial" w:hAnsi="Arial" w:cs="Arial"/>
          <w:b/>
          <w:bCs/>
        </w:rPr>
      </w:pPr>
    </w:p>
    <w:p w14:paraId="71ED8FB4" w14:textId="2449A0F6" w:rsidR="00AD60EA" w:rsidRDefault="00AD60EA" w:rsidP="00F71AB9">
      <w:pPr>
        <w:spacing w:after="0" w:line="240" w:lineRule="auto"/>
        <w:contextualSpacing/>
        <w:rPr>
          <w:rFonts w:ascii="Arial" w:hAnsi="Arial" w:cs="Arial"/>
          <w:b/>
          <w:bCs/>
        </w:rPr>
      </w:pPr>
    </w:p>
    <w:p w14:paraId="6EB4752B" w14:textId="4BD68116" w:rsidR="00AD60EA" w:rsidRDefault="00AD60EA" w:rsidP="00F71AB9">
      <w:pPr>
        <w:spacing w:after="0" w:line="240" w:lineRule="auto"/>
        <w:contextualSpacing/>
        <w:rPr>
          <w:rFonts w:ascii="Arial" w:hAnsi="Arial" w:cs="Arial"/>
          <w:b/>
          <w:bCs/>
        </w:rPr>
      </w:pPr>
    </w:p>
    <w:p w14:paraId="41F71E4C" w14:textId="57B6F8EB" w:rsidR="00AD60EA" w:rsidRDefault="00AD60EA" w:rsidP="00F71AB9">
      <w:pPr>
        <w:spacing w:after="0" w:line="240" w:lineRule="auto"/>
        <w:contextualSpacing/>
        <w:rPr>
          <w:rFonts w:ascii="Arial" w:hAnsi="Arial" w:cs="Arial"/>
          <w:b/>
          <w:bCs/>
        </w:rPr>
      </w:pPr>
    </w:p>
    <w:p w14:paraId="09418F61" w14:textId="77777777" w:rsidR="004C4B9A" w:rsidRDefault="004C4B9A" w:rsidP="00F71AB9">
      <w:pPr>
        <w:spacing w:after="0" w:line="240" w:lineRule="auto"/>
        <w:contextualSpacing/>
        <w:rPr>
          <w:rFonts w:ascii="Arial" w:hAnsi="Arial" w:cs="Arial"/>
          <w:b/>
          <w:bCs/>
        </w:rPr>
      </w:pPr>
    </w:p>
    <w:p w14:paraId="5CBEDD1B" w14:textId="31C5D570" w:rsidR="004C4B9A" w:rsidRDefault="004C4B9A" w:rsidP="00F71AB9">
      <w:pPr>
        <w:spacing w:after="0" w:line="240" w:lineRule="auto"/>
        <w:contextualSpacing/>
        <w:rPr>
          <w:rFonts w:ascii="Arial" w:hAnsi="Arial" w:cs="Arial"/>
          <w:b/>
          <w:bCs/>
        </w:rPr>
      </w:pPr>
    </w:p>
    <w:p w14:paraId="123CB19B" w14:textId="1FC5BA64" w:rsidR="004C4B9A" w:rsidRDefault="00311B98" w:rsidP="00F71AB9">
      <w:pPr>
        <w:spacing w:after="0" w:line="240" w:lineRule="auto"/>
        <w:contextualSpacing/>
        <w:rPr>
          <w:rFonts w:ascii="Arial" w:hAnsi="Arial" w:cs="Arial"/>
          <w:b/>
          <w:bCs/>
        </w:rPr>
      </w:pPr>
      <w:r w:rsidRPr="00486A63">
        <w:rPr>
          <w:rFonts w:ascii="Arial" w:hAnsi="Arial" w:cs="Arial"/>
          <w:noProof/>
        </w:rPr>
        <mc:AlternateContent>
          <mc:Choice Requires="wps">
            <w:drawing>
              <wp:anchor distT="45720" distB="45720" distL="114300" distR="114300" simplePos="0" relativeHeight="251658241" behindDoc="0" locked="0" layoutInCell="1" allowOverlap="1" wp14:anchorId="51B88DF0" wp14:editId="4734BA6D">
                <wp:simplePos x="0" y="0"/>
                <wp:positionH relativeFrom="margin">
                  <wp:posOffset>-83820</wp:posOffset>
                </wp:positionH>
                <wp:positionV relativeFrom="paragraph">
                  <wp:posOffset>271145</wp:posOffset>
                </wp:positionV>
                <wp:extent cx="6829425" cy="1404620"/>
                <wp:effectExtent l="0" t="0" r="9525" b="0"/>
                <wp:wrapSquare wrapText="bothSides"/>
                <wp:docPr id="77925276" name="Text Box 77925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solidFill>
                          <a:srgbClr val="FFFFFF"/>
                        </a:solidFill>
                        <a:ln w="9525">
                          <a:noFill/>
                          <a:miter lim="800000"/>
                          <a:headEnd/>
                          <a:tailEnd/>
                        </a:ln>
                      </wps:spPr>
                      <wps:txbx>
                        <w:txbxContent>
                          <w:p w14:paraId="70E0E69C" w14:textId="77777777" w:rsidR="00D7676C" w:rsidRPr="00D7676C" w:rsidRDefault="00D7676C" w:rsidP="00D7676C">
                            <w:pPr>
                              <w:spacing w:after="0"/>
                              <w:rPr>
                                <w:rFonts w:ascii="Arial" w:hAnsi="Arial" w:cs="Arial"/>
                              </w:rPr>
                            </w:pPr>
                            <w:r w:rsidRPr="00D7676C">
                              <w:rPr>
                                <w:rFonts w:ascii="Arial" w:hAnsi="Arial" w:cs="Arial"/>
                              </w:rPr>
                              <w:t>Voters across the political spectrum support school choice, with support high among Republicans (84%), Independents (80%), and Democrats (73%).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88DF0" id="_x0000_t202" coordsize="21600,21600" o:spt="202" path="m,l,21600r21600,l21600,xe">
                <v:stroke joinstyle="miter"/>
                <v:path gradientshapeok="t" o:connecttype="rect"/>
              </v:shapetype>
              <v:shape id="Text Box 77925276" o:spid="_x0000_s1026" type="#_x0000_t202" style="position:absolute;margin-left:-6.6pt;margin-top:21.35pt;width:537.7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HDgIAAPc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" stroked="f">
                <v:textbox style="mso-fit-shape-to-text:t">
                  <w:txbxContent>
                    <w:p w14:paraId="70E0E69C" w14:textId="77777777" w:rsidR="00D7676C" w:rsidRPr="00D7676C" w:rsidRDefault="00D7676C" w:rsidP="00D7676C">
                      <w:pPr>
                        <w:spacing w:after="0"/>
                        <w:rPr>
                          <w:rFonts w:ascii="Arial" w:hAnsi="Arial" w:cs="Arial"/>
                        </w:rPr>
                      </w:pPr>
                      <w:r w:rsidRPr="00D7676C">
                        <w:rPr>
                          <w:rFonts w:ascii="Arial" w:hAnsi="Arial" w:cs="Arial"/>
                        </w:rPr>
                        <w:t>Voters across the political spectrum support school choice, with support high among Republicans (84%), Independents (80%), and Democrats (73%).</w:t>
                      </w:r>
                    </w:p>
                  </w:txbxContent>
                </v:textbox>
                <w10:wrap type="square" anchorx="margin"/>
              </v:shape>
            </w:pict>
          </mc:Fallback>
        </mc:AlternateContent>
      </w:r>
    </w:p>
    <w:p w14:paraId="5F04C33C" w14:textId="77777777" w:rsidR="00CC6882" w:rsidRDefault="00CC6882" w:rsidP="00F71AB9">
      <w:pPr>
        <w:spacing w:after="0" w:line="240" w:lineRule="auto"/>
        <w:contextualSpacing/>
        <w:rPr>
          <w:rFonts w:ascii="Arial" w:hAnsi="Arial" w:cs="Arial"/>
          <w:b/>
          <w:bCs/>
          <w:sz w:val="28"/>
          <w:szCs w:val="28"/>
        </w:rPr>
      </w:pPr>
    </w:p>
    <w:p w14:paraId="1FD94445" w14:textId="63235F1D" w:rsidR="00FF4DD4" w:rsidRDefault="007C71F2" w:rsidP="00F71AB9">
      <w:pPr>
        <w:spacing w:after="0" w:line="240" w:lineRule="auto"/>
        <w:contextualSpacing/>
        <w:rPr>
          <w:rFonts w:ascii="Arial" w:hAnsi="Arial" w:cs="Arial"/>
          <w:b/>
          <w:bCs/>
          <w:sz w:val="28"/>
          <w:szCs w:val="28"/>
        </w:rPr>
      </w:pPr>
      <w:r>
        <w:rPr>
          <w:rFonts w:ascii="Arial" w:hAnsi="Arial" w:cs="Arial"/>
          <w:b/>
          <w:bCs/>
          <w:sz w:val="28"/>
          <w:szCs w:val="28"/>
        </w:rPr>
        <w:t>S</w:t>
      </w:r>
      <w:r w:rsidR="00FB39A7">
        <w:rPr>
          <w:rFonts w:ascii="Arial" w:hAnsi="Arial" w:cs="Arial"/>
          <w:b/>
          <w:bCs/>
          <w:sz w:val="28"/>
          <w:szCs w:val="28"/>
        </w:rPr>
        <w:t>trong</w:t>
      </w:r>
      <w:r w:rsidR="00DF2C06" w:rsidRPr="00FB39A7">
        <w:rPr>
          <w:rFonts w:ascii="Arial" w:hAnsi="Arial" w:cs="Arial"/>
          <w:b/>
          <w:bCs/>
          <w:sz w:val="28"/>
          <w:szCs w:val="28"/>
        </w:rPr>
        <w:t xml:space="preserve"> Support</w:t>
      </w:r>
      <w:r w:rsidR="00FB39A7" w:rsidRPr="00FB39A7">
        <w:rPr>
          <w:rFonts w:ascii="Arial" w:hAnsi="Arial" w:cs="Arial"/>
          <w:b/>
          <w:bCs/>
          <w:sz w:val="28"/>
          <w:szCs w:val="28"/>
        </w:rPr>
        <w:t xml:space="preserve"> for</w:t>
      </w:r>
      <w:r w:rsidR="00DF2C06" w:rsidRPr="00FB39A7">
        <w:rPr>
          <w:rFonts w:ascii="Arial" w:hAnsi="Arial" w:cs="Arial"/>
          <w:b/>
          <w:bCs/>
          <w:sz w:val="28"/>
          <w:szCs w:val="28"/>
        </w:rPr>
        <w:t xml:space="preserve"> ESAs and </w:t>
      </w:r>
      <w:r w:rsidR="00FB39A7" w:rsidRPr="00FB39A7">
        <w:rPr>
          <w:rFonts w:ascii="Arial" w:hAnsi="Arial" w:cs="Arial"/>
          <w:b/>
          <w:bCs/>
          <w:sz w:val="28"/>
          <w:szCs w:val="28"/>
        </w:rPr>
        <w:t>Making</w:t>
      </w:r>
      <w:r w:rsidR="00DF2C06" w:rsidRPr="00FB39A7">
        <w:rPr>
          <w:rFonts w:ascii="Arial" w:hAnsi="Arial" w:cs="Arial"/>
          <w:b/>
          <w:bCs/>
          <w:sz w:val="28"/>
          <w:szCs w:val="28"/>
        </w:rPr>
        <w:t xml:space="preserve"> Them Available to </w:t>
      </w:r>
      <w:r w:rsidR="00FB39A7" w:rsidRPr="00FB39A7">
        <w:rPr>
          <w:rFonts w:ascii="Arial" w:hAnsi="Arial" w:cs="Arial"/>
          <w:b/>
          <w:bCs/>
          <w:sz w:val="28"/>
          <w:szCs w:val="28"/>
        </w:rPr>
        <w:t>All Families</w:t>
      </w:r>
      <w:r w:rsidR="00DF2C06" w:rsidRPr="00FB39A7">
        <w:rPr>
          <w:rFonts w:ascii="Arial" w:hAnsi="Arial" w:cs="Arial"/>
          <w:b/>
          <w:bCs/>
          <w:sz w:val="28"/>
          <w:szCs w:val="28"/>
        </w:rPr>
        <w:t xml:space="preserve"> </w:t>
      </w:r>
    </w:p>
    <w:p w14:paraId="3F716DEA" w14:textId="556844E4" w:rsidR="00FB39A7" w:rsidRPr="00946902" w:rsidRDefault="000E2CC1" w:rsidP="00F71AB9">
      <w:pPr>
        <w:spacing w:after="0" w:line="240" w:lineRule="auto"/>
        <w:contextualSpacing/>
        <w:rPr>
          <w:rFonts w:ascii="Arial" w:hAnsi="Arial" w:cs="Arial"/>
        </w:rPr>
      </w:pPr>
      <w:r>
        <w:rPr>
          <w:rFonts w:ascii="Arial" w:hAnsi="Arial" w:cs="Arial"/>
          <w:noProof/>
        </w:rPr>
        <w:drawing>
          <wp:anchor distT="0" distB="0" distL="114300" distR="114300" simplePos="0" relativeHeight="251658242" behindDoc="0" locked="0" layoutInCell="1" allowOverlap="1" wp14:anchorId="2B3CC752" wp14:editId="699A38E9">
            <wp:simplePos x="0" y="0"/>
            <wp:positionH relativeFrom="margin">
              <wp:posOffset>572135</wp:posOffset>
            </wp:positionH>
            <wp:positionV relativeFrom="paragraph">
              <wp:posOffset>1311910</wp:posOffset>
            </wp:positionV>
            <wp:extent cx="5613400" cy="1459865"/>
            <wp:effectExtent l="0" t="0" r="0" b="6985"/>
            <wp:wrapSquare wrapText="bothSides"/>
            <wp:docPr id="945997000" name="Chart 94599700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2A3EC8" w:rsidRPr="00486A63">
        <w:rPr>
          <w:rFonts w:ascii="Arial" w:hAnsi="Arial" w:cs="Arial"/>
          <w:noProof/>
        </w:rPr>
        <mc:AlternateContent>
          <mc:Choice Requires="wps">
            <w:drawing>
              <wp:anchor distT="45720" distB="45720" distL="114300" distR="114300" simplePos="0" relativeHeight="251660291" behindDoc="0" locked="0" layoutInCell="1" allowOverlap="1" wp14:anchorId="6138D3B6" wp14:editId="00B7D5F7">
                <wp:simplePos x="0" y="0"/>
                <wp:positionH relativeFrom="margin">
                  <wp:posOffset>47625</wp:posOffset>
                </wp:positionH>
                <wp:positionV relativeFrom="paragraph">
                  <wp:posOffset>482600</wp:posOffset>
                </wp:positionV>
                <wp:extent cx="6753225" cy="1404620"/>
                <wp:effectExtent l="0" t="0" r="9525" b="0"/>
                <wp:wrapSquare wrapText="bothSides"/>
                <wp:docPr id="1423122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solidFill>
                          <a:srgbClr val="FFFFFF"/>
                        </a:solidFill>
                        <a:ln w="9525">
                          <a:noFill/>
                          <a:miter lim="800000"/>
                          <a:headEnd/>
                          <a:tailEnd/>
                        </a:ln>
                      </wps:spPr>
                      <wps:txbx>
                        <w:txbxContent>
                          <w:p w14:paraId="64E5EBE7" w14:textId="77777777" w:rsidR="005B0CB5" w:rsidRPr="002A3EC8" w:rsidRDefault="005B0CB5" w:rsidP="005B0CB5">
                            <w:pPr>
                              <w:spacing w:after="0"/>
                              <w:jc w:val="center"/>
                              <w:rPr>
                                <w:rFonts w:ascii="Candara" w:hAnsi="Candara" w:cs="Arial"/>
                                <w:sz w:val="21"/>
                                <w:szCs w:val="21"/>
                              </w:rPr>
                            </w:pPr>
                            <w:r w:rsidRPr="002A3EC8">
                              <w:rPr>
                                <w:rFonts w:ascii="Candara" w:hAnsi="Candara" w:cs="Arial"/>
                                <w:sz w:val="21"/>
                                <w:szCs w:val="21"/>
                              </w:rPr>
                              <w:t>As you may know, an Education Savings Account, also known as an ESA, allows families to use the state funding that would have gone to their child’s public school to instead access the education that best meets their child’s needs. Families can spend this money on private school tuition, online education programs, tutoring, curriculum, therapies, and other direct education needs of their child. Knowing this, would you say you support or oppose ESAs?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38D3B6" id="_x0000_t202" coordsize="21600,21600" o:spt="202" path="m,l,21600r21600,l21600,xe">
                <v:stroke joinstyle="miter"/>
                <v:path gradientshapeok="t" o:connecttype="rect"/>
              </v:shapetype>
              <v:shape id="Text Box 2" o:spid="_x0000_s1027" type="#_x0000_t202" style="position:absolute;margin-left:3.75pt;margin-top:38pt;width:531.75pt;height:110.6pt;z-index:25166029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" stroked="f">
                <v:textbox style="mso-fit-shape-to-text:t">
                  <w:txbxContent>
                    <w:p w14:paraId="64E5EBE7" w14:textId="77777777" w:rsidR="005B0CB5" w:rsidRPr="002A3EC8" w:rsidRDefault="005B0CB5" w:rsidP="005B0CB5">
                      <w:pPr>
                        <w:spacing w:after="0"/>
                        <w:jc w:val="center"/>
                        <w:rPr>
                          <w:rFonts w:ascii="Candara" w:hAnsi="Candara" w:cs="Arial"/>
                          <w:sz w:val="21"/>
                          <w:szCs w:val="21"/>
                        </w:rPr>
                      </w:pPr>
                      <w:r w:rsidRPr="002A3EC8">
                        <w:rPr>
                          <w:rFonts w:ascii="Candara" w:hAnsi="Candara" w:cs="Arial"/>
                          <w:sz w:val="21"/>
                          <w:szCs w:val="21"/>
                        </w:rPr>
                        <w:t>As you may know, an Education Savings Account, also known as an ESA, allows families to use the state funding that would have gone to their child’s public school to instead access the education that best meets their child’s needs. Families can spend this money on private school tuition, online education programs, tutoring, curriculum, therapies, and other direct education needs of their child. Knowing this, would you say you support or oppose ESAs?</w:t>
                      </w:r>
                    </w:p>
                  </w:txbxContent>
                </v:textbox>
                <w10:wrap type="square" anchorx="margin"/>
              </v:shape>
            </w:pict>
          </mc:Fallback>
        </mc:AlternateContent>
      </w:r>
      <w:r w:rsidR="006E6EA8">
        <w:rPr>
          <w:rFonts w:ascii="Arial" w:hAnsi="Arial" w:cs="Arial"/>
        </w:rPr>
        <w:t xml:space="preserve">More than seven-in-ten (73%) </w:t>
      </w:r>
      <w:r w:rsidR="00C464C6">
        <w:rPr>
          <w:rFonts w:ascii="Arial" w:hAnsi="Arial" w:cs="Arial"/>
        </w:rPr>
        <w:t xml:space="preserve">Mississippi </w:t>
      </w:r>
      <w:r w:rsidR="006E6EA8">
        <w:rPr>
          <w:rFonts w:ascii="Arial" w:hAnsi="Arial" w:cs="Arial"/>
        </w:rPr>
        <w:t>voters supp</w:t>
      </w:r>
      <w:r w:rsidR="00C464C6">
        <w:rPr>
          <w:rFonts w:ascii="Arial" w:hAnsi="Arial" w:cs="Arial"/>
        </w:rPr>
        <w:t>ort Education Savings Accounts</w:t>
      </w:r>
      <w:r w:rsidR="00ED3529">
        <w:rPr>
          <w:rFonts w:ascii="Arial" w:hAnsi="Arial" w:cs="Arial"/>
        </w:rPr>
        <w:t xml:space="preserve">, with </w:t>
      </w:r>
      <w:r w:rsidR="00946902">
        <w:rPr>
          <w:rFonts w:ascii="Arial" w:hAnsi="Arial" w:cs="Arial"/>
        </w:rPr>
        <w:t xml:space="preserve">those who </w:t>
      </w:r>
      <w:r w:rsidR="00ED3529">
        <w:rPr>
          <w:rFonts w:ascii="Arial" w:hAnsi="Arial" w:cs="Arial"/>
        </w:rPr>
        <w:t>strongly support</w:t>
      </w:r>
      <w:r w:rsidR="00946902">
        <w:rPr>
          <w:rFonts w:ascii="Arial" w:hAnsi="Arial" w:cs="Arial"/>
        </w:rPr>
        <w:t xml:space="preserve"> </w:t>
      </w:r>
      <w:r w:rsidR="00082B44">
        <w:rPr>
          <w:rFonts w:ascii="Arial" w:hAnsi="Arial" w:cs="Arial"/>
        </w:rPr>
        <w:t>(49%)</w:t>
      </w:r>
      <w:r w:rsidR="00506C9F">
        <w:rPr>
          <w:rFonts w:ascii="Arial" w:hAnsi="Arial" w:cs="Arial"/>
        </w:rPr>
        <w:t xml:space="preserve"> a full 3</w:t>
      </w:r>
      <w:r w:rsidR="00554FD6">
        <w:rPr>
          <w:rFonts w:ascii="Arial" w:hAnsi="Arial" w:cs="Arial"/>
        </w:rPr>
        <w:t>7</w:t>
      </w:r>
      <w:r w:rsidR="00503F64">
        <w:rPr>
          <w:rFonts w:ascii="Arial" w:hAnsi="Arial" w:cs="Arial"/>
        </w:rPr>
        <w:t xml:space="preserve"> </w:t>
      </w:r>
      <w:r w:rsidR="00506C9F">
        <w:rPr>
          <w:rFonts w:ascii="Arial" w:hAnsi="Arial" w:cs="Arial"/>
        </w:rPr>
        <w:t>points higher than</w:t>
      </w:r>
      <w:r w:rsidR="00946902">
        <w:rPr>
          <w:rFonts w:ascii="Arial" w:hAnsi="Arial" w:cs="Arial"/>
        </w:rPr>
        <w:t xml:space="preserve"> those who</w:t>
      </w:r>
      <w:r w:rsidR="00506C9F">
        <w:rPr>
          <w:rFonts w:ascii="Arial" w:hAnsi="Arial" w:cs="Arial"/>
        </w:rPr>
        <w:t xml:space="preserve"> strongly oppose (</w:t>
      </w:r>
      <w:r w:rsidR="000E38CF">
        <w:rPr>
          <w:rFonts w:ascii="Arial" w:hAnsi="Arial" w:cs="Arial"/>
        </w:rPr>
        <w:t>12%)</w:t>
      </w:r>
      <w:r w:rsidR="00C464C6">
        <w:rPr>
          <w:rFonts w:ascii="Arial" w:hAnsi="Arial" w:cs="Arial"/>
        </w:rPr>
        <w:t>.</w:t>
      </w:r>
    </w:p>
    <w:p w14:paraId="79ECE116" w14:textId="0282223E" w:rsidR="00FB39A7" w:rsidRDefault="00FB39A7" w:rsidP="00F71AB9">
      <w:pPr>
        <w:spacing w:after="0" w:line="240" w:lineRule="auto"/>
        <w:contextualSpacing/>
        <w:rPr>
          <w:rFonts w:ascii="Arial" w:hAnsi="Arial" w:cs="Arial"/>
        </w:rPr>
      </w:pPr>
    </w:p>
    <w:p w14:paraId="02961FFF" w14:textId="052A35BE" w:rsidR="005B0CB5" w:rsidRDefault="005B0CB5" w:rsidP="00F71AB9">
      <w:pPr>
        <w:spacing w:after="0" w:line="240" w:lineRule="auto"/>
        <w:contextualSpacing/>
        <w:rPr>
          <w:rFonts w:ascii="Arial" w:hAnsi="Arial" w:cs="Arial"/>
        </w:rPr>
      </w:pPr>
    </w:p>
    <w:p w14:paraId="06758116" w14:textId="5768C933" w:rsidR="005B0CB5" w:rsidRPr="005B0CB5" w:rsidRDefault="005B0CB5" w:rsidP="00F71AB9">
      <w:pPr>
        <w:spacing w:after="0" w:line="240" w:lineRule="auto"/>
        <w:contextualSpacing/>
        <w:rPr>
          <w:rFonts w:ascii="Arial" w:hAnsi="Arial" w:cs="Arial"/>
        </w:rPr>
      </w:pPr>
    </w:p>
    <w:p w14:paraId="558A2A1F" w14:textId="11CD1A3D" w:rsidR="00FB39A7" w:rsidRDefault="00FB39A7" w:rsidP="00F71AB9">
      <w:pPr>
        <w:spacing w:after="0" w:line="240" w:lineRule="auto"/>
        <w:contextualSpacing/>
        <w:rPr>
          <w:rFonts w:ascii="Arial" w:hAnsi="Arial" w:cs="Arial"/>
          <w:i/>
          <w:iCs/>
        </w:rPr>
      </w:pPr>
    </w:p>
    <w:p w14:paraId="4B2B76CC" w14:textId="45B0C549" w:rsidR="00FB39A7" w:rsidRPr="00FB39A7" w:rsidRDefault="00FB39A7" w:rsidP="00F71AB9">
      <w:pPr>
        <w:spacing w:after="0" w:line="240" w:lineRule="auto"/>
        <w:contextualSpacing/>
        <w:rPr>
          <w:rFonts w:ascii="Arial" w:hAnsi="Arial" w:cs="Arial"/>
          <w:i/>
          <w:iCs/>
        </w:rPr>
      </w:pPr>
    </w:p>
    <w:p w14:paraId="143264AE" w14:textId="7A791711" w:rsidR="00562B9E" w:rsidRDefault="00562B9E" w:rsidP="00F71AB9">
      <w:pPr>
        <w:spacing w:after="0" w:line="240" w:lineRule="auto"/>
        <w:ind w:left="360"/>
        <w:contextualSpacing/>
        <w:rPr>
          <w:rFonts w:ascii="Arial" w:hAnsi="Arial" w:cs="Arial"/>
        </w:rPr>
      </w:pPr>
    </w:p>
    <w:p w14:paraId="7D7C8A79" w14:textId="34265DA3" w:rsidR="00377340" w:rsidRDefault="00377340" w:rsidP="00F71AB9">
      <w:pPr>
        <w:spacing w:after="0" w:line="240" w:lineRule="auto"/>
        <w:ind w:left="360"/>
        <w:contextualSpacing/>
        <w:rPr>
          <w:rFonts w:ascii="Arial" w:hAnsi="Arial" w:cs="Arial"/>
        </w:rPr>
      </w:pPr>
    </w:p>
    <w:p w14:paraId="4BDE7377" w14:textId="76A5180C" w:rsidR="00377340" w:rsidRDefault="00377340" w:rsidP="00F71AB9">
      <w:pPr>
        <w:spacing w:after="0" w:line="240" w:lineRule="auto"/>
        <w:ind w:left="360"/>
        <w:contextualSpacing/>
        <w:rPr>
          <w:rFonts w:ascii="Arial" w:hAnsi="Arial" w:cs="Arial"/>
        </w:rPr>
      </w:pPr>
    </w:p>
    <w:p w14:paraId="1064B67C" w14:textId="77777777" w:rsidR="00377340" w:rsidRDefault="00377340" w:rsidP="00F71AB9">
      <w:pPr>
        <w:spacing w:after="0" w:line="240" w:lineRule="auto"/>
        <w:ind w:left="360"/>
        <w:contextualSpacing/>
        <w:rPr>
          <w:rFonts w:ascii="Arial" w:hAnsi="Arial" w:cs="Arial"/>
        </w:rPr>
      </w:pPr>
    </w:p>
    <w:p w14:paraId="0C595540" w14:textId="77777777" w:rsidR="00377340" w:rsidRDefault="00377340" w:rsidP="00F71AB9">
      <w:pPr>
        <w:spacing w:after="0" w:line="240" w:lineRule="auto"/>
        <w:ind w:left="360"/>
        <w:contextualSpacing/>
        <w:rPr>
          <w:rFonts w:ascii="Arial" w:hAnsi="Arial" w:cs="Arial"/>
        </w:rPr>
      </w:pPr>
    </w:p>
    <w:p w14:paraId="37DB69EF" w14:textId="078073FF" w:rsidR="0052302D" w:rsidRDefault="0045381A" w:rsidP="00F71AB9">
      <w:pPr>
        <w:spacing w:after="0" w:line="240" w:lineRule="auto"/>
        <w:contextualSpacing/>
      </w:pPr>
      <w:r>
        <w:rPr>
          <w:rFonts w:ascii="Arial" w:hAnsi="Arial" w:cs="Arial"/>
        </w:rPr>
        <w:t>Support for ESAs is high among</w:t>
      </w:r>
      <w:r w:rsidR="00573E4D" w:rsidRPr="00235E75">
        <w:rPr>
          <w:rFonts w:ascii="Arial" w:hAnsi="Arial" w:cs="Arial"/>
        </w:rPr>
        <w:t>:</w:t>
      </w:r>
    </w:p>
    <w:p w14:paraId="2CD895E5" w14:textId="1AB153DF" w:rsidR="00562B9E" w:rsidRDefault="0045381A" w:rsidP="00F71AB9">
      <w:pPr>
        <w:pStyle w:val="ListParagraph"/>
        <w:numPr>
          <w:ilvl w:val="0"/>
          <w:numId w:val="7"/>
        </w:numPr>
        <w:spacing w:after="0" w:line="240" w:lineRule="auto"/>
        <w:ind w:left="720"/>
        <w:rPr>
          <w:rFonts w:ascii="Arial" w:hAnsi="Arial" w:cs="Arial"/>
        </w:rPr>
      </w:pPr>
      <w:r>
        <w:rPr>
          <w:rFonts w:ascii="Arial" w:hAnsi="Arial" w:cs="Arial"/>
        </w:rPr>
        <w:t>Parents</w:t>
      </w:r>
      <w:r w:rsidR="007C71F2">
        <w:rPr>
          <w:rFonts w:ascii="Arial" w:hAnsi="Arial" w:cs="Arial"/>
        </w:rPr>
        <w:t xml:space="preserve"> (76%)</w:t>
      </w:r>
      <w:r w:rsidR="0042489A">
        <w:rPr>
          <w:rFonts w:ascii="Arial" w:hAnsi="Arial" w:cs="Arial"/>
        </w:rPr>
        <w:t xml:space="preserve">, who also expressed </w:t>
      </w:r>
      <w:r w:rsidR="00121B36">
        <w:rPr>
          <w:rFonts w:ascii="Arial" w:hAnsi="Arial" w:cs="Arial"/>
        </w:rPr>
        <w:t>personal interest (73%)</w:t>
      </w:r>
      <w:r w:rsidR="009F71E7">
        <w:rPr>
          <w:rFonts w:ascii="Arial" w:hAnsi="Arial" w:cs="Arial"/>
        </w:rPr>
        <w:t xml:space="preserve"> in an ESA for their child</w:t>
      </w:r>
      <w:r w:rsidR="00DF2C06">
        <w:rPr>
          <w:rFonts w:ascii="Arial" w:hAnsi="Arial" w:cs="Arial"/>
        </w:rPr>
        <w:t>.</w:t>
      </w:r>
    </w:p>
    <w:p w14:paraId="791DDF33" w14:textId="66614A6B" w:rsidR="00192E36" w:rsidRDefault="00DF2C06" w:rsidP="00F71AB9">
      <w:pPr>
        <w:pStyle w:val="ListParagraph"/>
        <w:numPr>
          <w:ilvl w:val="0"/>
          <w:numId w:val="1"/>
        </w:numPr>
        <w:spacing w:after="0" w:line="240" w:lineRule="auto"/>
        <w:rPr>
          <w:rFonts w:ascii="Arial" w:hAnsi="Arial" w:cs="Arial"/>
        </w:rPr>
      </w:pPr>
      <w:r>
        <w:rPr>
          <w:rFonts w:ascii="Arial" w:hAnsi="Arial" w:cs="Arial"/>
        </w:rPr>
        <w:t xml:space="preserve">Republicans (78%), </w:t>
      </w:r>
      <w:r w:rsidR="006B0B15">
        <w:rPr>
          <w:rFonts w:ascii="Arial" w:hAnsi="Arial" w:cs="Arial"/>
        </w:rPr>
        <w:t xml:space="preserve">Independents (73%), and </w:t>
      </w:r>
      <w:r>
        <w:rPr>
          <w:rFonts w:ascii="Arial" w:hAnsi="Arial" w:cs="Arial"/>
        </w:rPr>
        <w:t xml:space="preserve">Democrats (70%). </w:t>
      </w:r>
    </w:p>
    <w:p w14:paraId="48016F3E" w14:textId="0FE1765F" w:rsidR="00B40E8C" w:rsidRDefault="00B40E8C" w:rsidP="00F71AB9">
      <w:pPr>
        <w:pStyle w:val="ListParagraph"/>
        <w:numPr>
          <w:ilvl w:val="0"/>
          <w:numId w:val="1"/>
        </w:numPr>
        <w:spacing w:after="0" w:line="240" w:lineRule="auto"/>
        <w:rPr>
          <w:rFonts w:ascii="Arial" w:hAnsi="Arial" w:cs="Arial"/>
        </w:rPr>
      </w:pPr>
      <w:r>
        <w:rPr>
          <w:rFonts w:ascii="Arial" w:hAnsi="Arial" w:cs="Arial"/>
        </w:rPr>
        <w:t>White (74%) and African American (71%) voters.</w:t>
      </w:r>
    </w:p>
    <w:p w14:paraId="6E1442B3" w14:textId="77777777" w:rsidR="00FF6086" w:rsidRDefault="00FF6086" w:rsidP="00FF6086">
      <w:pPr>
        <w:spacing w:after="0" w:line="240" w:lineRule="auto"/>
        <w:rPr>
          <w:rFonts w:ascii="Arial" w:hAnsi="Arial" w:cs="Arial"/>
        </w:rPr>
      </w:pPr>
    </w:p>
    <w:p w14:paraId="1846881A" w14:textId="1C778CB4" w:rsidR="00FF6086" w:rsidRPr="00FF6086" w:rsidRDefault="00FF6086" w:rsidP="00FF6086">
      <w:pPr>
        <w:spacing w:after="0" w:line="240" w:lineRule="auto"/>
        <w:rPr>
          <w:rFonts w:ascii="Arial" w:hAnsi="Arial" w:cs="Arial"/>
        </w:rPr>
      </w:pPr>
      <w:r>
        <w:rPr>
          <w:rFonts w:ascii="Arial" w:hAnsi="Arial" w:cs="Arial"/>
        </w:rPr>
        <w:t>Notably, when asked to whom ESAs should be available, voters overwhelmingly agreed “all families a</w:t>
      </w:r>
      <w:r w:rsidR="001E1CE5">
        <w:rPr>
          <w:rFonts w:ascii="Arial" w:hAnsi="Arial" w:cs="Arial"/>
        </w:rPr>
        <w:t>c</w:t>
      </w:r>
      <w:r>
        <w:rPr>
          <w:rFonts w:ascii="Arial" w:hAnsi="Arial" w:cs="Arial"/>
        </w:rPr>
        <w:t>ross the state”</w:t>
      </w:r>
      <w:r w:rsidR="001E1CE5">
        <w:rPr>
          <w:rFonts w:ascii="Arial" w:hAnsi="Arial" w:cs="Arial"/>
        </w:rPr>
        <w:t xml:space="preserve"> (71%).</w:t>
      </w:r>
    </w:p>
    <w:p w14:paraId="543F95F6" w14:textId="3872FD99" w:rsidR="006B0B15" w:rsidRDefault="006B0B15" w:rsidP="00F71AB9">
      <w:pPr>
        <w:spacing w:after="0" w:line="240" w:lineRule="auto"/>
        <w:contextualSpacing/>
        <w:rPr>
          <w:rFonts w:ascii="Arial" w:hAnsi="Arial" w:cs="Arial"/>
        </w:rPr>
      </w:pPr>
    </w:p>
    <w:p w14:paraId="568A3B60" w14:textId="27904471" w:rsidR="00DF2C06" w:rsidRDefault="00DF2C06" w:rsidP="00F71AB9">
      <w:pPr>
        <w:spacing w:after="0" w:line="240" w:lineRule="auto"/>
        <w:contextualSpacing/>
        <w:rPr>
          <w:rFonts w:ascii="Arial" w:hAnsi="Arial" w:cs="Arial"/>
        </w:rPr>
      </w:pPr>
    </w:p>
    <w:p w14:paraId="4E90A001" w14:textId="77777777" w:rsidR="00235E75" w:rsidRDefault="00235E75" w:rsidP="00F71AB9">
      <w:pPr>
        <w:pStyle w:val="ListParagraph"/>
        <w:spacing w:after="0" w:line="240" w:lineRule="auto"/>
        <w:rPr>
          <w:rFonts w:ascii="Arial" w:hAnsi="Arial" w:cs="Arial"/>
        </w:rPr>
      </w:pPr>
    </w:p>
    <w:p w14:paraId="26A426AC" w14:textId="239F609E" w:rsidR="00562B9E" w:rsidRPr="00192E36" w:rsidRDefault="00DF2C06" w:rsidP="00F71AB9">
      <w:pPr>
        <w:spacing w:after="0" w:line="240" w:lineRule="auto"/>
        <w:contextualSpacing/>
        <w:rPr>
          <w:rFonts w:ascii="Arial" w:hAnsi="Arial" w:cs="Arial"/>
          <w:b/>
          <w:bCs/>
          <w:sz w:val="28"/>
          <w:szCs w:val="28"/>
        </w:rPr>
      </w:pPr>
      <w:r w:rsidRPr="00192E36">
        <w:rPr>
          <w:rFonts w:ascii="Arial" w:hAnsi="Arial" w:cs="Arial"/>
          <w:b/>
          <w:bCs/>
          <w:sz w:val="28"/>
          <w:szCs w:val="28"/>
        </w:rPr>
        <w:t xml:space="preserve">Voters Believe </w:t>
      </w:r>
      <w:r w:rsidR="004555A4" w:rsidRPr="00192E36">
        <w:rPr>
          <w:rFonts w:ascii="Arial" w:hAnsi="Arial" w:cs="Arial"/>
          <w:b/>
          <w:bCs/>
          <w:sz w:val="28"/>
          <w:szCs w:val="28"/>
        </w:rPr>
        <w:t xml:space="preserve">Expanding </w:t>
      </w:r>
      <w:r w:rsidRPr="00192E36">
        <w:rPr>
          <w:rFonts w:ascii="Arial" w:hAnsi="Arial" w:cs="Arial"/>
          <w:b/>
          <w:bCs/>
          <w:sz w:val="28"/>
          <w:szCs w:val="28"/>
        </w:rPr>
        <w:t>ESAs Would Improve the State’s Overall Education System and Are More Likely to Vote for Candidates Who Support</w:t>
      </w:r>
      <w:r w:rsidR="00192E36" w:rsidRPr="00192E36">
        <w:rPr>
          <w:rFonts w:ascii="Arial" w:hAnsi="Arial" w:cs="Arial"/>
          <w:b/>
          <w:bCs/>
          <w:sz w:val="28"/>
          <w:szCs w:val="28"/>
        </w:rPr>
        <w:t xml:space="preserve"> Expan</w:t>
      </w:r>
      <w:r w:rsidR="009A6ACE">
        <w:rPr>
          <w:rFonts w:ascii="Arial" w:hAnsi="Arial" w:cs="Arial"/>
          <w:b/>
          <w:bCs/>
          <w:sz w:val="28"/>
          <w:szCs w:val="28"/>
        </w:rPr>
        <w:t>sion</w:t>
      </w:r>
    </w:p>
    <w:p w14:paraId="5C46A0E9" w14:textId="622C6FC0" w:rsidR="00562B9E" w:rsidRPr="00235E75" w:rsidRDefault="00DF2C06" w:rsidP="00F71AB9">
      <w:pPr>
        <w:spacing w:after="0" w:line="240" w:lineRule="auto"/>
        <w:contextualSpacing/>
        <w:rPr>
          <w:rFonts w:ascii="Arial" w:hAnsi="Arial" w:cs="Arial"/>
        </w:rPr>
      </w:pPr>
      <w:r w:rsidRPr="00235E75">
        <w:rPr>
          <w:rFonts w:ascii="Arial" w:hAnsi="Arial" w:cs="Arial"/>
        </w:rPr>
        <w:t>A majority of voters (59%) believe</w:t>
      </w:r>
      <w:r w:rsidR="004555A4" w:rsidRPr="00235E75">
        <w:rPr>
          <w:rFonts w:ascii="Arial" w:hAnsi="Arial" w:cs="Arial"/>
        </w:rPr>
        <w:t xml:space="preserve"> expanding</w:t>
      </w:r>
      <w:r w:rsidRPr="00235E75">
        <w:rPr>
          <w:rFonts w:ascii="Arial" w:hAnsi="Arial" w:cs="Arial"/>
        </w:rPr>
        <w:t xml:space="preserve"> ESAs would improve the state’s overall education system</w:t>
      </w:r>
      <w:r w:rsidR="00F4067D">
        <w:rPr>
          <w:rFonts w:ascii="Arial" w:hAnsi="Arial" w:cs="Arial"/>
        </w:rPr>
        <w:t xml:space="preserve">, including majorities of key </w:t>
      </w:r>
      <w:r w:rsidR="00DD4398">
        <w:rPr>
          <w:rFonts w:ascii="Arial" w:hAnsi="Arial" w:cs="Arial"/>
        </w:rPr>
        <w:t>sub</w:t>
      </w:r>
      <w:r w:rsidR="004A1C22">
        <w:rPr>
          <w:rFonts w:ascii="Arial" w:hAnsi="Arial" w:cs="Arial"/>
        </w:rPr>
        <w:t>groups:</w:t>
      </w:r>
      <w:r w:rsidRPr="00235E75">
        <w:rPr>
          <w:rFonts w:ascii="Arial" w:hAnsi="Arial" w:cs="Arial"/>
        </w:rPr>
        <w:t xml:space="preserve"> </w:t>
      </w:r>
    </w:p>
    <w:p w14:paraId="71A50819" w14:textId="77777777" w:rsidR="00B40E8C" w:rsidRPr="00503F64" w:rsidRDefault="00B40E8C" w:rsidP="00F71AB9">
      <w:pPr>
        <w:spacing w:after="0" w:line="240" w:lineRule="auto"/>
        <w:ind w:left="360"/>
        <w:contextualSpacing/>
        <w:rPr>
          <w:rFonts w:ascii="Arial" w:hAnsi="Arial" w:cs="Arial"/>
        </w:rPr>
      </w:pPr>
    </w:p>
    <w:tbl>
      <w:tblPr>
        <w:tblStyle w:val="TableGrid"/>
        <w:tblW w:w="0" w:type="auto"/>
        <w:jc w:val="center"/>
        <w:tblLook w:val="04A0" w:firstRow="1" w:lastRow="0" w:firstColumn="1" w:lastColumn="0" w:noHBand="0" w:noVBand="1"/>
      </w:tblPr>
      <w:tblGrid>
        <w:gridCol w:w="1443"/>
        <w:gridCol w:w="1972"/>
        <w:gridCol w:w="1921"/>
        <w:gridCol w:w="1922"/>
        <w:gridCol w:w="1922"/>
      </w:tblGrid>
      <w:tr w:rsidR="00AE011A" w14:paraId="2B164BBF" w14:textId="77777777" w:rsidTr="00235E75">
        <w:trPr>
          <w:jc w:val="center"/>
        </w:trPr>
        <w:tc>
          <w:tcPr>
            <w:tcW w:w="1443" w:type="dxa"/>
            <w:tcBorders>
              <w:top w:val="single" w:sz="4" w:space="0" w:color="FFFFFF" w:themeColor="background1"/>
              <w:left w:val="single" w:sz="4" w:space="0" w:color="FFFFFF" w:themeColor="background1"/>
            </w:tcBorders>
          </w:tcPr>
          <w:p w14:paraId="5B44EED7" w14:textId="77777777" w:rsidR="00AE011A" w:rsidRDefault="00AE011A" w:rsidP="00F71AB9">
            <w:pPr>
              <w:contextualSpacing/>
              <w:rPr>
                <w:rFonts w:ascii="Arial" w:hAnsi="Arial" w:cs="Arial"/>
              </w:rPr>
            </w:pPr>
          </w:p>
        </w:tc>
        <w:tc>
          <w:tcPr>
            <w:tcW w:w="1972" w:type="dxa"/>
            <w:vAlign w:val="center"/>
          </w:tcPr>
          <w:p w14:paraId="7E8B822C" w14:textId="79365FCB" w:rsidR="00AE011A" w:rsidRPr="00235E75" w:rsidRDefault="00A21AAC" w:rsidP="00F71AB9">
            <w:pPr>
              <w:contextualSpacing/>
              <w:jc w:val="center"/>
              <w:rPr>
                <w:rFonts w:ascii="Arial" w:hAnsi="Arial" w:cs="Arial"/>
                <w:b/>
                <w:bCs/>
              </w:rPr>
            </w:pPr>
            <w:r w:rsidRPr="00235E75">
              <w:rPr>
                <w:rFonts w:ascii="Arial" w:hAnsi="Arial" w:cs="Arial"/>
                <w:b/>
                <w:bCs/>
              </w:rPr>
              <w:t>K-12 Parent</w:t>
            </w:r>
          </w:p>
        </w:tc>
        <w:tc>
          <w:tcPr>
            <w:tcW w:w="5765" w:type="dxa"/>
            <w:gridSpan w:val="3"/>
            <w:vAlign w:val="center"/>
          </w:tcPr>
          <w:p w14:paraId="37A0B396" w14:textId="40E16E36" w:rsidR="00AE011A" w:rsidRPr="00235E75" w:rsidRDefault="00AE011A" w:rsidP="00F71AB9">
            <w:pPr>
              <w:contextualSpacing/>
              <w:jc w:val="center"/>
              <w:rPr>
                <w:rFonts w:ascii="Arial" w:hAnsi="Arial" w:cs="Arial"/>
                <w:b/>
                <w:bCs/>
              </w:rPr>
            </w:pPr>
            <w:r w:rsidRPr="00235E75">
              <w:rPr>
                <w:rFonts w:ascii="Arial" w:hAnsi="Arial" w:cs="Arial"/>
                <w:b/>
                <w:bCs/>
              </w:rPr>
              <w:t>Party ID</w:t>
            </w:r>
          </w:p>
        </w:tc>
      </w:tr>
      <w:tr w:rsidR="009B7BC1" w14:paraId="3983E392" w14:textId="77777777" w:rsidTr="00235E75">
        <w:trPr>
          <w:jc w:val="center"/>
        </w:trPr>
        <w:tc>
          <w:tcPr>
            <w:tcW w:w="1443" w:type="dxa"/>
          </w:tcPr>
          <w:p w14:paraId="1164B874" w14:textId="50D9FAE3" w:rsidR="009B7BC1" w:rsidRPr="00235E75" w:rsidRDefault="009B7BC1" w:rsidP="00F71AB9">
            <w:pPr>
              <w:contextualSpacing/>
              <w:rPr>
                <w:rFonts w:ascii="Arial" w:hAnsi="Arial" w:cs="Arial"/>
                <w:b/>
                <w:bCs/>
              </w:rPr>
            </w:pPr>
            <w:r w:rsidRPr="00235E75">
              <w:rPr>
                <w:rFonts w:ascii="Arial" w:hAnsi="Arial" w:cs="Arial"/>
                <w:b/>
                <w:bCs/>
              </w:rPr>
              <w:t>Impact</w:t>
            </w:r>
          </w:p>
        </w:tc>
        <w:tc>
          <w:tcPr>
            <w:tcW w:w="1972" w:type="dxa"/>
            <w:vAlign w:val="center"/>
          </w:tcPr>
          <w:p w14:paraId="6004FA5A" w14:textId="6BA6CE55" w:rsidR="009B7BC1" w:rsidRDefault="00AE011A" w:rsidP="00F71AB9">
            <w:pPr>
              <w:contextualSpacing/>
              <w:jc w:val="center"/>
              <w:rPr>
                <w:rFonts w:ascii="Arial" w:hAnsi="Arial" w:cs="Arial"/>
              </w:rPr>
            </w:pPr>
            <w:r>
              <w:rPr>
                <w:rFonts w:ascii="Arial" w:hAnsi="Arial" w:cs="Arial"/>
              </w:rPr>
              <w:t>Parent</w:t>
            </w:r>
          </w:p>
        </w:tc>
        <w:tc>
          <w:tcPr>
            <w:tcW w:w="1921" w:type="dxa"/>
            <w:vAlign w:val="center"/>
          </w:tcPr>
          <w:p w14:paraId="3A054216" w14:textId="136CC4BD" w:rsidR="009B7BC1" w:rsidRDefault="00AE011A" w:rsidP="00F71AB9">
            <w:pPr>
              <w:contextualSpacing/>
              <w:jc w:val="center"/>
              <w:rPr>
                <w:rFonts w:ascii="Arial" w:hAnsi="Arial" w:cs="Arial"/>
              </w:rPr>
            </w:pPr>
            <w:r>
              <w:rPr>
                <w:rFonts w:ascii="Arial" w:hAnsi="Arial" w:cs="Arial"/>
              </w:rPr>
              <w:t>GOP</w:t>
            </w:r>
          </w:p>
        </w:tc>
        <w:tc>
          <w:tcPr>
            <w:tcW w:w="1922" w:type="dxa"/>
            <w:vAlign w:val="center"/>
          </w:tcPr>
          <w:p w14:paraId="76C51557" w14:textId="2695F50F" w:rsidR="009B7BC1" w:rsidRDefault="00AE011A" w:rsidP="00F71AB9">
            <w:pPr>
              <w:contextualSpacing/>
              <w:jc w:val="center"/>
              <w:rPr>
                <w:rFonts w:ascii="Arial" w:hAnsi="Arial" w:cs="Arial"/>
              </w:rPr>
            </w:pPr>
            <w:r>
              <w:rPr>
                <w:rFonts w:ascii="Arial" w:hAnsi="Arial" w:cs="Arial"/>
              </w:rPr>
              <w:t>IND</w:t>
            </w:r>
          </w:p>
        </w:tc>
        <w:tc>
          <w:tcPr>
            <w:tcW w:w="1922" w:type="dxa"/>
            <w:vAlign w:val="center"/>
          </w:tcPr>
          <w:p w14:paraId="01D09229" w14:textId="2F12575D" w:rsidR="009B7BC1" w:rsidRDefault="00AE011A" w:rsidP="00F71AB9">
            <w:pPr>
              <w:contextualSpacing/>
              <w:jc w:val="center"/>
              <w:rPr>
                <w:rFonts w:ascii="Arial" w:hAnsi="Arial" w:cs="Arial"/>
              </w:rPr>
            </w:pPr>
            <w:r>
              <w:rPr>
                <w:rFonts w:ascii="Arial" w:hAnsi="Arial" w:cs="Arial"/>
              </w:rPr>
              <w:t>DEM</w:t>
            </w:r>
          </w:p>
        </w:tc>
      </w:tr>
      <w:tr w:rsidR="009B7BC1" w14:paraId="66E2687D" w14:textId="77777777" w:rsidTr="00235E75">
        <w:trPr>
          <w:jc w:val="center"/>
        </w:trPr>
        <w:tc>
          <w:tcPr>
            <w:tcW w:w="1443" w:type="dxa"/>
          </w:tcPr>
          <w:p w14:paraId="13BE261F" w14:textId="4A739B90" w:rsidR="009B7BC1" w:rsidRDefault="009B7BC1" w:rsidP="00F71AB9">
            <w:pPr>
              <w:contextualSpacing/>
              <w:rPr>
                <w:rFonts w:ascii="Arial" w:hAnsi="Arial" w:cs="Arial"/>
              </w:rPr>
            </w:pPr>
            <w:r>
              <w:rPr>
                <w:rFonts w:ascii="Arial" w:hAnsi="Arial" w:cs="Arial"/>
              </w:rPr>
              <w:t>Improve</w:t>
            </w:r>
          </w:p>
        </w:tc>
        <w:tc>
          <w:tcPr>
            <w:tcW w:w="1972" w:type="dxa"/>
            <w:vAlign w:val="center"/>
          </w:tcPr>
          <w:p w14:paraId="00C921B9" w14:textId="327DC549" w:rsidR="009B7BC1" w:rsidRDefault="00AA6D58" w:rsidP="00F71AB9">
            <w:pPr>
              <w:contextualSpacing/>
              <w:jc w:val="center"/>
              <w:rPr>
                <w:rFonts w:ascii="Arial" w:hAnsi="Arial" w:cs="Arial"/>
              </w:rPr>
            </w:pPr>
            <w:r>
              <w:rPr>
                <w:rFonts w:ascii="Arial" w:hAnsi="Arial" w:cs="Arial"/>
              </w:rPr>
              <w:t>62%</w:t>
            </w:r>
          </w:p>
        </w:tc>
        <w:tc>
          <w:tcPr>
            <w:tcW w:w="1921" w:type="dxa"/>
            <w:vAlign w:val="center"/>
          </w:tcPr>
          <w:p w14:paraId="3F1F5AFF" w14:textId="2905364E" w:rsidR="009B7BC1" w:rsidRDefault="00AA6D58" w:rsidP="00F71AB9">
            <w:pPr>
              <w:contextualSpacing/>
              <w:jc w:val="center"/>
              <w:rPr>
                <w:rFonts w:ascii="Arial" w:hAnsi="Arial" w:cs="Arial"/>
              </w:rPr>
            </w:pPr>
            <w:r>
              <w:rPr>
                <w:rFonts w:ascii="Arial" w:hAnsi="Arial" w:cs="Arial"/>
              </w:rPr>
              <w:t>62</w:t>
            </w:r>
            <w:r w:rsidR="00195921">
              <w:rPr>
                <w:rFonts w:ascii="Arial" w:hAnsi="Arial" w:cs="Arial"/>
              </w:rPr>
              <w:t>%</w:t>
            </w:r>
          </w:p>
        </w:tc>
        <w:tc>
          <w:tcPr>
            <w:tcW w:w="1922" w:type="dxa"/>
            <w:vAlign w:val="center"/>
          </w:tcPr>
          <w:p w14:paraId="30F2C999" w14:textId="242C2570" w:rsidR="009B7BC1" w:rsidRDefault="00AA6D58" w:rsidP="00F71AB9">
            <w:pPr>
              <w:contextualSpacing/>
              <w:jc w:val="center"/>
              <w:rPr>
                <w:rFonts w:ascii="Arial" w:hAnsi="Arial" w:cs="Arial"/>
              </w:rPr>
            </w:pPr>
            <w:r>
              <w:rPr>
                <w:rFonts w:ascii="Arial" w:hAnsi="Arial" w:cs="Arial"/>
              </w:rPr>
              <w:t>60</w:t>
            </w:r>
            <w:r w:rsidR="00195921">
              <w:rPr>
                <w:rFonts w:ascii="Arial" w:hAnsi="Arial" w:cs="Arial"/>
              </w:rPr>
              <w:t>%</w:t>
            </w:r>
          </w:p>
        </w:tc>
        <w:tc>
          <w:tcPr>
            <w:tcW w:w="1922" w:type="dxa"/>
            <w:vAlign w:val="center"/>
          </w:tcPr>
          <w:p w14:paraId="6D2CB32B" w14:textId="474C150F" w:rsidR="009B7BC1" w:rsidRDefault="00AA6D58" w:rsidP="00F71AB9">
            <w:pPr>
              <w:contextualSpacing/>
              <w:jc w:val="center"/>
              <w:rPr>
                <w:rFonts w:ascii="Arial" w:hAnsi="Arial" w:cs="Arial"/>
              </w:rPr>
            </w:pPr>
            <w:r>
              <w:rPr>
                <w:rFonts w:ascii="Arial" w:hAnsi="Arial" w:cs="Arial"/>
              </w:rPr>
              <w:t>57</w:t>
            </w:r>
            <w:r w:rsidR="00195921">
              <w:rPr>
                <w:rFonts w:ascii="Arial" w:hAnsi="Arial" w:cs="Arial"/>
              </w:rPr>
              <w:t>%</w:t>
            </w:r>
          </w:p>
        </w:tc>
      </w:tr>
      <w:tr w:rsidR="009B7BC1" w14:paraId="1C75E617" w14:textId="77777777" w:rsidTr="00235E75">
        <w:trPr>
          <w:jc w:val="center"/>
        </w:trPr>
        <w:tc>
          <w:tcPr>
            <w:tcW w:w="1443" w:type="dxa"/>
          </w:tcPr>
          <w:p w14:paraId="16CF6498" w14:textId="6F812811" w:rsidR="009B7BC1" w:rsidRDefault="009B7BC1" w:rsidP="00F71AB9">
            <w:pPr>
              <w:contextualSpacing/>
              <w:rPr>
                <w:rFonts w:ascii="Arial" w:hAnsi="Arial" w:cs="Arial"/>
              </w:rPr>
            </w:pPr>
            <w:r>
              <w:rPr>
                <w:rFonts w:ascii="Arial" w:hAnsi="Arial" w:cs="Arial"/>
              </w:rPr>
              <w:t>Weaken</w:t>
            </w:r>
          </w:p>
        </w:tc>
        <w:tc>
          <w:tcPr>
            <w:tcW w:w="1972" w:type="dxa"/>
            <w:vAlign w:val="center"/>
          </w:tcPr>
          <w:p w14:paraId="2D52E540" w14:textId="7A9BBA0D" w:rsidR="009B7BC1" w:rsidRDefault="00AA6D58" w:rsidP="00F71AB9">
            <w:pPr>
              <w:contextualSpacing/>
              <w:jc w:val="center"/>
              <w:rPr>
                <w:rFonts w:ascii="Arial" w:hAnsi="Arial" w:cs="Arial"/>
              </w:rPr>
            </w:pPr>
            <w:r>
              <w:rPr>
                <w:rFonts w:ascii="Arial" w:hAnsi="Arial" w:cs="Arial"/>
              </w:rPr>
              <w:t>12%</w:t>
            </w:r>
          </w:p>
        </w:tc>
        <w:tc>
          <w:tcPr>
            <w:tcW w:w="1921" w:type="dxa"/>
            <w:vAlign w:val="center"/>
          </w:tcPr>
          <w:p w14:paraId="60318D68" w14:textId="2AF10303" w:rsidR="009B7BC1" w:rsidRDefault="00195921" w:rsidP="00F71AB9">
            <w:pPr>
              <w:contextualSpacing/>
              <w:jc w:val="center"/>
              <w:rPr>
                <w:rFonts w:ascii="Arial" w:hAnsi="Arial" w:cs="Arial"/>
              </w:rPr>
            </w:pPr>
            <w:r>
              <w:rPr>
                <w:rFonts w:ascii="Arial" w:hAnsi="Arial" w:cs="Arial"/>
              </w:rPr>
              <w:t>9%</w:t>
            </w:r>
          </w:p>
        </w:tc>
        <w:tc>
          <w:tcPr>
            <w:tcW w:w="1922" w:type="dxa"/>
            <w:vAlign w:val="center"/>
          </w:tcPr>
          <w:p w14:paraId="680AC1B8" w14:textId="4A727595" w:rsidR="009B7BC1" w:rsidRDefault="00195921" w:rsidP="00F71AB9">
            <w:pPr>
              <w:contextualSpacing/>
              <w:jc w:val="center"/>
              <w:rPr>
                <w:rFonts w:ascii="Arial" w:hAnsi="Arial" w:cs="Arial"/>
              </w:rPr>
            </w:pPr>
            <w:r>
              <w:rPr>
                <w:rFonts w:ascii="Arial" w:hAnsi="Arial" w:cs="Arial"/>
              </w:rPr>
              <w:t>14%</w:t>
            </w:r>
          </w:p>
        </w:tc>
        <w:tc>
          <w:tcPr>
            <w:tcW w:w="1922" w:type="dxa"/>
            <w:vAlign w:val="center"/>
          </w:tcPr>
          <w:p w14:paraId="7FB6A21B" w14:textId="11CB03DB" w:rsidR="009B7BC1" w:rsidRDefault="00195921" w:rsidP="00F71AB9">
            <w:pPr>
              <w:contextualSpacing/>
              <w:jc w:val="center"/>
              <w:rPr>
                <w:rFonts w:ascii="Arial" w:hAnsi="Arial" w:cs="Arial"/>
              </w:rPr>
            </w:pPr>
            <w:r>
              <w:rPr>
                <w:rFonts w:ascii="Arial" w:hAnsi="Arial" w:cs="Arial"/>
              </w:rPr>
              <w:t>13%</w:t>
            </w:r>
          </w:p>
        </w:tc>
      </w:tr>
    </w:tbl>
    <w:p w14:paraId="56A8864B" w14:textId="4FC2ABF6" w:rsidR="00DF2C06" w:rsidRPr="00235E75" w:rsidRDefault="00357FFD" w:rsidP="00F71AB9">
      <w:pPr>
        <w:spacing w:after="0" w:line="240" w:lineRule="auto"/>
        <w:contextualSpacing/>
        <w:rPr>
          <w:rFonts w:ascii="Arial" w:hAnsi="Arial" w:cs="Arial"/>
        </w:rPr>
      </w:pPr>
      <w:r w:rsidRPr="00235E75">
        <w:rPr>
          <w:rFonts w:ascii="Arial" w:hAnsi="Arial" w:cs="Arial"/>
        </w:rPr>
        <w:t xml:space="preserve"> </w:t>
      </w:r>
    </w:p>
    <w:p w14:paraId="2C9FDF37" w14:textId="7D7C8B51" w:rsidR="00357FFD" w:rsidRDefault="00357FFD" w:rsidP="00F71AB9">
      <w:pPr>
        <w:spacing w:after="0" w:line="240" w:lineRule="auto"/>
        <w:contextualSpacing/>
        <w:rPr>
          <w:rFonts w:ascii="Arial" w:hAnsi="Arial" w:cs="Arial"/>
        </w:rPr>
      </w:pPr>
      <w:r w:rsidRPr="00235E75">
        <w:rPr>
          <w:rFonts w:ascii="Arial" w:hAnsi="Arial" w:cs="Arial"/>
        </w:rPr>
        <w:t xml:space="preserve">A plurality of voters (49%) would be </w:t>
      </w:r>
      <w:r w:rsidR="00EF73A2">
        <w:rPr>
          <w:rFonts w:ascii="Arial" w:hAnsi="Arial" w:cs="Arial"/>
        </w:rPr>
        <w:t>“</w:t>
      </w:r>
      <w:r w:rsidRPr="00235E75">
        <w:rPr>
          <w:rFonts w:ascii="Arial" w:hAnsi="Arial" w:cs="Arial"/>
        </w:rPr>
        <w:t>more likely</w:t>
      </w:r>
      <w:r w:rsidR="00EF73A2">
        <w:rPr>
          <w:rFonts w:ascii="Arial" w:hAnsi="Arial" w:cs="Arial"/>
        </w:rPr>
        <w:t>”</w:t>
      </w:r>
      <w:r w:rsidRPr="00235E75">
        <w:rPr>
          <w:rFonts w:ascii="Arial" w:hAnsi="Arial" w:cs="Arial"/>
        </w:rPr>
        <w:t xml:space="preserve"> to vote for their legislator if that legislator supported </w:t>
      </w:r>
      <w:r w:rsidR="004555A4" w:rsidRPr="00235E75">
        <w:rPr>
          <w:rFonts w:ascii="Arial" w:hAnsi="Arial" w:cs="Arial"/>
        </w:rPr>
        <w:t xml:space="preserve">expanding </w:t>
      </w:r>
      <w:r w:rsidRPr="00235E75">
        <w:rPr>
          <w:rFonts w:ascii="Arial" w:hAnsi="Arial" w:cs="Arial"/>
        </w:rPr>
        <w:t>ESA</w:t>
      </w:r>
      <w:r w:rsidR="007C71F2" w:rsidRPr="00235E75">
        <w:rPr>
          <w:rFonts w:ascii="Arial" w:hAnsi="Arial" w:cs="Arial"/>
        </w:rPr>
        <w:t xml:space="preserve">s, while just 7% would be </w:t>
      </w:r>
      <w:r w:rsidR="00EF73A2">
        <w:rPr>
          <w:rFonts w:ascii="Arial" w:hAnsi="Arial" w:cs="Arial"/>
        </w:rPr>
        <w:t>“</w:t>
      </w:r>
      <w:r w:rsidR="007C71F2" w:rsidRPr="00235E75">
        <w:rPr>
          <w:rFonts w:ascii="Arial" w:hAnsi="Arial" w:cs="Arial"/>
        </w:rPr>
        <w:t>less likely.</w:t>
      </w:r>
      <w:r w:rsidR="00EF73A2">
        <w:rPr>
          <w:rFonts w:ascii="Arial" w:hAnsi="Arial" w:cs="Arial"/>
        </w:rPr>
        <w:t>”</w:t>
      </w:r>
      <w:r w:rsidR="00CE18CA">
        <w:rPr>
          <w:rFonts w:ascii="Arial" w:hAnsi="Arial" w:cs="Arial"/>
        </w:rPr>
        <w:t xml:space="preserve"> </w:t>
      </w:r>
    </w:p>
    <w:p w14:paraId="7610CC8B" w14:textId="77777777" w:rsidR="00B40E8C" w:rsidRPr="00235E75" w:rsidRDefault="00B40E8C" w:rsidP="00F71AB9">
      <w:pPr>
        <w:spacing w:after="0" w:line="240" w:lineRule="auto"/>
        <w:contextualSpacing/>
        <w:rPr>
          <w:rFonts w:ascii="Arial" w:hAnsi="Arial" w:cs="Arial"/>
        </w:rPr>
      </w:pPr>
    </w:p>
    <w:p w14:paraId="1B7AF950" w14:textId="52872174" w:rsidR="00357FFD" w:rsidRPr="00FC3FB6" w:rsidRDefault="00FC3FB6" w:rsidP="00FC3FB6">
      <w:pPr>
        <w:pStyle w:val="ListParagraph"/>
        <w:numPr>
          <w:ilvl w:val="0"/>
          <w:numId w:val="4"/>
        </w:numPr>
        <w:spacing w:after="0" w:line="240" w:lineRule="auto"/>
        <w:rPr>
          <w:rFonts w:ascii="Arial" w:hAnsi="Arial" w:cs="Arial"/>
        </w:rPr>
      </w:pPr>
      <w:r>
        <w:rPr>
          <w:rFonts w:ascii="Arial" w:hAnsi="Arial" w:cs="Arial"/>
        </w:rPr>
        <w:t xml:space="preserve">This includes </w:t>
      </w:r>
      <w:r w:rsidR="00FF584E">
        <w:rPr>
          <w:rFonts w:ascii="Arial" w:hAnsi="Arial" w:cs="Arial"/>
        </w:rPr>
        <w:t>majorities of</w:t>
      </w:r>
      <w:r w:rsidR="007F451E">
        <w:rPr>
          <w:rFonts w:ascii="Arial" w:hAnsi="Arial" w:cs="Arial"/>
        </w:rPr>
        <w:t xml:space="preserve"> Republicans (51%),</w:t>
      </w:r>
      <w:r w:rsidR="00FF584E">
        <w:rPr>
          <w:rFonts w:ascii="Arial" w:hAnsi="Arial" w:cs="Arial"/>
        </w:rPr>
        <w:t xml:space="preserve"> </w:t>
      </w:r>
      <w:r w:rsidR="00357FFD">
        <w:rPr>
          <w:rFonts w:ascii="Arial" w:hAnsi="Arial" w:cs="Arial"/>
        </w:rPr>
        <w:t>Democrats</w:t>
      </w:r>
      <w:r w:rsidR="007F451E">
        <w:rPr>
          <w:rFonts w:ascii="Arial" w:hAnsi="Arial" w:cs="Arial"/>
        </w:rPr>
        <w:t xml:space="preserve"> (52%)</w:t>
      </w:r>
      <w:r>
        <w:rPr>
          <w:rFonts w:ascii="Arial" w:hAnsi="Arial" w:cs="Arial"/>
        </w:rPr>
        <w:t>,</w:t>
      </w:r>
      <w:r w:rsidR="00357FFD">
        <w:rPr>
          <w:rFonts w:ascii="Arial" w:hAnsi="Arial" w:cs="Arial"/>
        </w:rPr>
        <w:t xml:space="preserve"> </w:t>
      </w:r>
      <w:r w:rsidR="00BD78EA">
        <w:rPr>
          <w:rFonts w:ascii="Arial" w:hAnsi="Arial" w:cs="Arial"/>
        </w:rPr>
        <w:t>and</w:t>
      </w:r>
      <w:r>
        <w:rPr>
          <w:rFonts w:ascii="Arial" w:hAnsi="Arial" w:cs="Arial"/>
        </w:rPr>
        <w:t xml:space="preserve"> </w:t>
      </w:r>
      <w:r w:rsidR="004555A4" w:rsidRPr="00FC3FB6">
        <w:rPr>
          <w:rFonts w:ascii="Arial" w:hAnsi="Arial" w:cs="Arial"/>
        </w:rPr>
        <w:t>parents</w:t>
      </w:r>
      <w:r w:rsidR="007F451E">
        <w:rPr>
          <w:rFonts w:ascii="Arial" w:hAnsi="Arial" w:cs="Arial"/>
        </w:rPr>
        <w:t xml:space="preserve"> (55%)</w:t>
      </w:r>
      <w:r w:rsidR="004555A4" w:rsidRPr="00FC3FB6">
        <w:rPr>
          <w:rFonts w:ascii="Arial" w:hAnsi="Arial" w:cs="Arial"/>
        </w:rPr>
        <w:t>.</w:t>
      </w:r>
      <w:r w:rsidR="00357FFD" w:rsidRPr="00FC3FB6">
        <w:rPr>
          <w:rFonts w:ascii="Arial" w:hAnsi="Arial" w:cs="Arial"/>
        </w:rPr>
        <w:t xml:space="preserve"> </w:t>
      </w:r>
    </w:p>
    <w:p w14:paraId="5A544984" w14:textId="77777777" w:rsidR="00FC3FB6" w:rsidRDefault="00FC3FB6" w:rsidP="00FC3FB6">
      <w:pPr>
        <w:pStyle w:val="ListParagraph"/>
        <w:spacing w:after="0" w:line="240" w:lineRule="auto"/>
        <w:rPr>
          <w:rFonts w:ascii="Arial" w:hAnsi="Arial" w:cs="Arial"/>
        </w:rPr>
      </w:pPr>
    </w:p>
    <w:p w14:paraId="02F23A37" w14:textId="2DF9919F" w:rsidR="00357FFD" w:rsidRDefault="00D1117F" w:rsidP="00F71AB9">
      <w:pPr>
        <w:pStyle w:val="ListParagraph"/>
        <w:numPr>
          <w:ilvl w:val="0"/>
          <w:numId w:val="4"/>
        </w:numPr>
        <w:spacing w:after="0" w:line="240" w:lineRule="auto"/>
        <w:rPr>
          <w:rFonts w:ascii="Arial" w:hAnsi="Arial" w:cs="Arial"/>
        </w:rPr>
      </w:pPr>
      <w:r>
        <w:rPr>
          <w:rFonts w:ascii="Arial" w:hAnsi="Arial" w:cs="Arial"/>
        </w:rPr>
        <w:t xml:space="preserve">Mississippi voters </w:t>
      </w:r>
      <w:r w:rsidR="00357FFD">
        <w:rPr>
          <w:rFonts w:ascii="Arial" w:hAnsi="Arial" w:cs="Arial"/>
        </w:rPr>
        <w:t>selected “much more likely” (30%) ten times more often than “much less likely” (3%)</w:t>
      </w:r>
      <w:r w:rsidR="00D85B2C">
        <w:rPr>
          <w:rFonts w:ascii="Arial" w:hAnsi="Arial" w:cs="Arial"/>
        </w:rPr>
        <w:t>,</w:t>
      </w:r>
      <w:r w:rsidR="00357FFD">
        <w:rPr>
          <w:rFonts w:ascii="Arial" w:hAnsi="Arial" w:cs="Arial"/>
        </w:rPr>
        <w:t xml:space="preserve"> showing high intensity and energy behind legislators who support </w:t>
      </w:r>
      <w:r w:rsidR="004555A4">
        <w:rPr>
          <w:rFonts w:ascii="Arial" w:hAnsi="Arial" w:cs="Arial"/>
        </w:rPr>
        <w:t xml:space="preserve">expanding </w:t>
      </w:r>
      <w:r w:rsidR="00357FFD">
        <w:rPr>
          <w:rFonts w:ascii="Arial" w:hAnsi="Arial" w:cs="Arial"/>
        </w:rPr>
        <w:t xml:space="preserve">ESAs.   </w:t>
      </w:r>
    </w:p>
    <w:p w14:paraId="65CCB17F" w14:textId="77777777" w:rsidR="00A71F7E" w:rsidRDefault="00A71F7E" w:rsidP="00F71AB9">
      <w:pPr>
        <w:spacing w:after="0" w:line="240" w:lineRule="auto"/>
        <w:contextualSpacing/>
        <w:rPr>
          <w:rFonts w:ascii="Arial" w:hAnsi="Arial" w:cs="Arial"/>
        </w:rPr>
      </w:pPr>
    </w:p>
    <w:p w14:paraId="67FC2A69" w14:textId="77777777" w:rsidR="0008233F" w:rsidRDefault="0008233F" w:rsidP="00F71AB9">
      <w:pPr>
        <w:spacing w:after="0" w:line="240" w:lineRule="auto"/>
        <w:contextualSpacing/>
        <w:rPr>
          <w:rFonts w:ascii="Arial" w:hAnsi="Arial" w:cs="Arial"/>
        </w:rPr>
      </w:pPr>
    </w:p>
    <w:p w14:paraId="0FAB6D7C" w14:textId="135D95A5" w:rsidR="00A71F7E" w:rsidRDefault="00A71F7E" w:rsidP="00F71AB9">
      <w:pPr>
        <w:spacing w:after="0" w:line="240" w:lineRule="auto"/>
        <w:contextualSpacing/>
        <w:rPr>
          <w:rFonts w:ascii="Arial" w:hAnsi="Arial" w:cs="Arial"/>
          <w:b/>
          <w:bCs/>
          <w:sz w:val="28"/>
          <w:szCs w:val="28"/>
        </w:rPr>
      </w:pPr>
      <w:r>
        <w:rPr>
          <w:rFonts w:ascii="Arial" w:hAnsi="Arial" w:cs="Arial"/>
          <w:b/>
          <w:bCs/>
          <w:sz w:val="28"/>
          <w:szCs w:val="28"/>
        </w:rPr>
        <w:t xml:space="preserve">Universal Open Enrollment Preferred by Most </w:t>
      </w:r>
    </w:p>
    <w:p w14:paraId="3E93F4DB" w14:textId="55D35612" w:rsidR="00A71F7E" w:rsidRDefault="00C52510" w:rsidP="00F71AB9">
      <w:pPr>
        <w:spacing w:after="0" w:line="240" w:lineRule="auto"/>
        <w:contextualSpacing/>
        <w:rPr>
          <w:rFonts w:ascii="Arial" w:hAnsi="Arial" w:cs="Arial"/>
        </w:rPr>
      </w:pPr>
      <w:r>
        <w:rPr>
          <w:rFonts w:ascii="Arial" w:hAnsi="Arial" w:cs="Arial"/>
          <w:b/>
          <w:bCs/>
          <w:noProof/>
          <w:sz w:val="28"/>
          <w:szCs w:val="28"/>
        </w:rPr>
        <w:drawing>
          <wp:anchor distT="0" distB="0" distL="114300" distR="114300" simplePos="0" relativeHeight="251658243" behindDoc="1" locked="0" layoutInCell="1" allowOverlap="1" wp14:anchorId="763C6408" wp14:editId="2742FC66">
            <wp:simplePos x="0" y="0"/>
            <wp:positionH relativeFrom="page">
              <wp:posOffset>4396105</wp:posOffset>
            </wp:positionH>
            <wp:positionV relativeFrom="paragraph">
              <wp:posOffset>164023</wp:posOffset>
            </wp:positionV>
            <wp:extent cx="2955290" cy="1983105"/>
            <wp:effectExtent l="0" t="0" r="0" b="0"/>
            <wp:wrapTight wrapText="bothSides">
              <wp:wrapPolygon edited="0">
                <wp:start x="0" y="0"/>
                <wp:lineTo x="0" y="21372"/>
                <wp:lineTo x="21442" y="21372"/>
                <wp:lineTo x="21442" y="0"/>
                <wp:lineTo x="0" y="0"/>
              </wp:wrapPolygon>
            </wp:wrapTight>
            <wp:docPr id="21139306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71F7E" w:rsidRPr="00277FD5">
        <w:rPr>
          <w:rFonts w:ascii="Arial" w:hAnsi="Arial" w:cs="Arial"/>
        </w:rPr>
        <w:t>Nearly three</w:t>
      </w:r>
      <w:r w:rsidR="00A71F7E">
        <w:rPr>
          <w:rFonts w:ascii="Arial" w:hAnsi="Arial" w:cs="Arial"/>
        </w:rPr>
        <w:t>-</w:t>
      </w:r>
      <w:r w:rsidR="00A71F7E" w:rsidRPr="00277FD5">
        <w:rPr>
          <w:rFonts w:ascii="Arial" w:hAnsi="Arial" w:cs="Arial"/>
        </w:rPr>
        <w:t>quarters of voters in the state support</w:t>
      </w:r>
      <w:r w:rsidR="00A71F7E">
        <w:rPr>
          <w:rFonts w:ascii="Arial" w:hAnsi="Arial" w:cs="Arial"/>
        </w:rPr>
        <w:t xml:space="preserve"> a law allowing families to access any public school in the state, and almost half (48%) </w:t>
      </w:r>
      <w:r w:rsidR="00A71F7E" w:rsidRPr="006F01FE">
        <w:rPr>
          <w:rFonts w:ascii="Arial" w:hAnsi="Arial" w:cs="Arial"/>
        </w:rPr>
        <w:t xml:space="preserve">strongly </w:t>
      </w:r>
      <w:r w:rsidR="00A71F7E">
        <w:rPr>
          <w:rFonts w:ascii="Arial" w:hAnsi="Arial" w:cs="Arial"/>
        </w:rPr>
        <w:t>support.</w:t>
      </w:r>
    </w:p>
    <w:p w14:paraId="4D2541FC" w14:textId="2B3DDEF5" w:rsidR="00A71F7E" w:rsidRDefault="00A71F7E" w:rsidP="00F71AB9">
      <w:pPr>
        <w:spacing w:after="0" w:line="240" w:lineRule="auto"/>
        <w:contextualSpacing/>
        <w:rPr>
          <w:rFonts w:ascii="Arial" w:hAnsi="Arial" w:cs="Arial"/>
        </w:rPr>
      </w:pPr>
    </w:p>
    <w:p w14:paraId="296144E1" w14:textId="4AC435D1" w:rsidR="00A71F7E" w:rsidRDefault="00A71F7E" w:rsidP="00F71AB9">
      <w:pPr>
        <w:pStyle w:val="ListParagraph"/>
        <w:numPr>
          <w:ilvl w:val="0"/>
          <w:numId w:val="8"/>
        </w:numPr>
        <w:spacing w:after="0" w:line="240" w:lineRule="auto"/>
        <w:rPr>
          <w:rFonts w:ascii="Arial" w:hAnsi="Arial" w:cs="Arial"/>
        </w:rPr>
      </w:pPr>
      <w:r w:rsidRPr="00946902">
        <w:rPr>
          <w:rFonts w:ascii="Arial" w:hAnsi="Arial" w:cs="Arial"/>
        </w:rPr>
        <w:t xml:space="preserve">Support for universal access to public schools is high among Republicans (76%), Independents (73%), and Democrats (71%).  </w:t>
      </w:r>
    </w:p>
    <w:p w14:paraId="139C2789" w14:textId="77777777" w:rsidR="00A71F7E" w:rsidRDefault="00A71F7E" w:rsidP="00F71AB9">
      <w:pPr>
        <w:pStyle w:val="ListParagraph"/>
        <w:spacing w:after="0" w:line="240" w:lineRule="auto"/>
        <w:rPr>
          <w:rFonts w:ascii="Arial" w:hAnsi="Arial" w:cs="Arial"/>
        </w:rPr>
      </w:pPr>
    </w:p>
    <w:p w14:paraId="68A5644C" w14:textId="77777777" w:rsidR="00A71F7E" w:rsidRPr="00946902" w:rsidRDefault="00A71F7E" w:rsidP="00F71AB9">
      <w:pPr>
        <w:pStyle w:val="ListParagraph"/>
        <w:numPr>
          <w:ilvl w:val="0"/>
          <w:numId w:val="8"/>
        </w:numPr>
        <w:spacing w:after="0" w:line="240" w:lineRule="auto"/>
        <w:rPr>
          <w:rFonts w:ascii="Arial" w:hAnsi="Arial" w:cs="Arial"/>
        </w:rPr>
      </w:pPr>
      <w:r>
        <w:rPr>
          <w:rFonts w:ascii="Arial" w:hAnsi="Arial" w:cs="Arial"/>
        </w:rPr>
        <w:t>More than three quarters of parents (77%) support open enrollment.</w:t>
      </w:r>
    </w:p>
    <w:p w14:paraId="2C0593EC" w14:textId="77777777" w:rsidR="00A71F7E" w:rsidRDefault="00A71F7E" w:rsidP="00F71AB9">
      <w:pPr>
        <w:spacing w:after="0" w:line="240" w:lineRule="auto"/>
        <w:contextualSpacing/>
        <w:rPr>
          <w:rFonts w:ascii="Arial" w:hAnsi="Arial" w:cs="Arial"/>
        </w:rPr>
      </w:pPr>
    </w:p>
    <w:p w14:paraId="47228B08" w14:textId="77777777" w:rsidR="00A71F7E" w:rsidRDefault="00A71F7E" w:rsidP="00F71AB9">
      <w:pPr>
        <w:spacing w:after="0" w:line="240" w:lineRule="auto"/>
        <w:contextualSpacing/>
        <w:rPr>
          <w:rFonts w:ascii="Arial" w:hAnsi="Arial" w:cs="Arial"/>
        </w:rPr>
      </w:pPr>
    </w:p>
    <w:p w14:paraId="12F84503" w14:textId="77777777" w:rsidR="00A71F7E" w:rsidRPr="00A71F7E" w:rsidRDefault="00A71F7E" w:rsidP="00F71AB9">
      <w:pPr>
        <w:spacing w:after="0" w:line="240" w:lineRule="auto"/>
        <w:contextualSpacing/>
        <w:rPr>
          <w:rFonts w:ascii="Arial" w:hAnsi="Arial" w:cs="Arial"/>
        </w:rPr>
      </w:pPr>
    </w:p>
    <w:p w14:paraId="1966CDF1" w14:textId="77777777" w:rsidR="00442F81" w:rsidRDefault="00442F81" w:rsidP="00F71AB9">
      <w:pPr>
        <w:spacing w:after="0" w:line="240" w:lineRule="auto"/>
        <w:contextualSpacing/>
        <w:rPr>
          <w:rFonts w:ascii="Arial" w:hAnsi="Arial" w:cs="Arial"/>
          <w:b/>
          <w:bCs/>
          <w:sz w:val="20"/>
          <w:szCs w:val="20"/>
        </w:rPr>
      </w:pPr>
    </w:p>
    <w:p w14:paraId="07E4FD6E" w14:textId="77777777" w:rsidR="00442F81" w:rsidRDefault="00442F81" w:rsidP="00F71AB9">
      <w:pPr>
        <w:spacing w:after="0" w:line="240" w:lineRule="auto"/>
        <w:contextualSpacing/>
        <w:rPr>
          <w:rFonts w:ascii="Arial" w:hAnsi="Arial" w:cs="Arial"/>
          <w:b/>
          <w:bCs/>
          <w:sz w:val="20"/>
          <w:szCs w:val="20"/>
        </w:rPr>
      </w:pPr>
    </w:p>
    <w:p w14:paraId="4ECC6C48" w14:textId="77777777" w:rsidR="00442F81" w:rsidRDefault="00442F81" w:rsidP="00F71AB9">
      <w:pPr>
        <w:spacing w:after="0" w:line="240" w:lineRule="auto"/>
        <w:contextualSpacing/>
        <w:rPr>
          <w:rFonts w:ascii="Arial" w:hAnsi="Arial" w:cs="Arial"/>
          <w:b/>
          <w:bCs/>
          <w:sz w:val="20"/>
          <w:szCs w:val="20"/>
        </w:rPr>
      </w:pPr>
    </w:p>
    <w:p w14:paraId="1A1C13C3" w14:textId="1362DDC0" w:rsidR="00373FD6" w:rsidRPr="00373FD6" w:rsidRDefault="00373FD6" w:rsidP="00F71AB9">
      <w:pPr>
        <w:spacing w:after="0" w:line="240" w:lineRule="auto"/>
        <w:contextualSpacing/>
        <w:rPr>
          <w:rFonts w:ascii="Arial" w:hAnsi="Arial" w:cs="Arial"/>
          <w:b/>
          <w:bCs/>
          <w:sz w:val="20"/>
          <w:szCs w:val="20"/>
        </w:rPr>
      </w:pPr>
      <w:r w:rsidRPr="00373FD6">
        <w:rPr>
          <w:rFonts w:ascii="Arial" w:hAnsi="Arial" w:cs="Arial"/>
          <w:b/>
          <w:bCs/>
          <w:sz w:val="20"/>
          <w:szCs w:val="20"/>
        </w:rPr>
        <w:t>Methodology</w:t>
      </w:r>
    </w:p>
    <w:p w14:paraId="3DB9388E" w14:textId="51E4685F" w:rsidR="00373FD6" w:rsidRPr="00373FD6" w:rsidRDefault="00373FD6" w:rsidP="00F71AB9">
      <w:pPr>
        <w:spacing w:after="0" w:line="240" w:lineRule="auto"/>
        <w:contextualSpacing/>
        <w:rPr>
          <w:rFonts w:ascii="Arial" w:hAnsi="Arial" w:cs="Arial"/>
          <w:sz w:val="20"/>
          <w:szCs w:val="20"/>
        </w:rPr>
      </w:pPr>
      <w:r w:rsidRPr="00373FD6">
        <w:rPr>
          <w:rFonts w:ascii="Arial" w:hAnsi="Arial" w:cs="Arial"/>
          <w:sz w:val="20"/>
          <w:szCs w:val="20"/>
        </w:rPr>
        <w:t xml:space="preserve">Arc Insights interviewed N=600 </w:t>
      </w:r>
      <w:r w:rsidR="004555A4">
        <w:rPr>
          <w:rFonts w:ascii="Arial" w:hAnsi="Arial" w:cs="Arial"/>
          <w:sz w:val="20"/>
          <w:szCs w:val="20"/>
        </w:rPr>
        <w:t xml:space="preserve">registered </w:t>
      </w:r>
      <w:r w:rsidRPr="00373FD6">
        <w:rPr>
          <w:rFonts w:ascii="Arial" w:hAnsi="Arial" w:cs="Arial"/>
          <w:sz w:val="20"/>
          <w:szCs w:val="20"/>
        </w:rPr>
        <w:t>voters</w:t>
      </w:r>
      <w:r w:rsidR="0026399D">
        <w:rPr>
          <w:rFonts w:ascii="Arial" w:hAnsi="Arial" w:cs="Arial"/>
          <w:sz w:val="20"/>
          <w:szCs w:val="20"/>
        </w:rPr>
        <w:t xml:space="preserve"> from the Mississippi voter file using Registration Based Sampling (RBS)</w:t>
      </w:r>
      <w:r w:rsidRPr="00373FD6">
        <w:rPr>
          <w:rFonts w:ascii="Arial" w:hAnsi="Arial" w:cs="Arial"/>
          <w:sz w:val="20"/>
          <w:szCs w:val="20"/>
        </w:rPr>
        <w:t xml:space="preserve">.  </w:t>
      </w:r>
      <w:r w:rsidR="0026399D">
        <w:rPr>
          <w:rFonts w:ascii="Arial" w:hAnsi="Arial" w:cs="Arial"/>
          <w:sz w:val="20"/>
          <w:szCs w:val="20"/>
        </w:rPr>
        <w:t>Data were collected</w:t>
      </w:r>
      <w:r w:rsidRPr="00373FD6">
        <w:rPr>
          <w:rFonts w:ascii="Arial" w:hAnsi="Arial" w:cs="Arial"/>
          <w:sz w:val="20"/>
          <w:szCs w:val="20"/>
        </w:rPr>
        <w:t xml:space="preserve"> November </w:t>
      </w:r>
      <w:r w:rsidR="00357FFD">
        <w:rPr>
          <w:rFonts w:ascii="Arial" w:hAnsi="Arial" w:cs="Arial"/>
          <w:sz w:val="20"/>
          <w:szCs w:val="20"/>
        </w:rPr>
        <w:t>30</w:t>
      </w:r>
      <w:r w:rsidRPr="00373FD6">
        <w:rPr>
          <w:rFonts w:ascii="Arial" w:hAnsi="Arial" w:cs="Arial"/>
          <w:sz w:val="20"/>
          <w:szCs w:val="20"/>
        </w:rPr>
        <w:t>-</w:t>
      </w:r>
      <w:r w:rsidR="00357FFD">
        <w:rPr>
          <w:rFonts w:ascii="Arial" w:hAnsi="Arial" w:cs="Arial"/>
          <w:sz w:val="20"/>
          <w:szCs w:val="20"/>
        </w:rPr>
        <w:t>December 3</w:t>
      </w:r>
      <w:r w:rsidRPr="00373FD6">
        <w:rPr>
          <w:rFonts w:ascii="Arial" w:hAnsi="Arial" w:cs="Arial"/>
          <w:sz w:val="20"/>
          <w:szCs w:val="20"/>
        </w:rPr>
        <w:t xml:space="preserve">, </w:t>
      </w:r>
      <w:r w:rsidR="003B3E86" w:rsidRPr="00373FD6">
        <w:rPr>
          <w:rFonts w:ascii="Arial" w:hAnsi="Arial" w:cs="Arial"/>
          <w:sz w:val="20"/>
          <w:szCs w:val="20"/>
        </w:rPr>
        <w:t>2023</w:t>
      </w:r>
      <w:r w:rsidR="0026399D">
        <w:rPr>
          <w:rFonts w:ascii="Arial" w:hAnsi="Arial" w:cs="Arial"/>
          <w:sz w:val="20"/>
          <w:szCs w:val="20"/>
        </w:rPr>
        <w:t xml:space="preserve">.  The sample was stratified based on geography, gender, age, and ethnicity.  A mixed mode methodology was used to interview respondents </w:t>
      </w:r>
      <w:r w:rsidRPr="00373FD6">
        <w:rPr>
          <w:rFonts w:ascii="Arial" w:hAnsi="Arial" w:cs="Arial"/>
          <w:sz w:val="20"/>
          <w:szCs w:val="20"/>
        </w:rPr>
        <w:t>over a combination of live calls to cell phones and landlines and SMS/Text-to-web.</w:t>
      </w:r>
      <w:r w:rsidR="00D85B2C">
        <w:rPr>
          <w:rFonts w:ascii="Arial" w:hAnsi="Arial" w:cs="Arial"/>
          <w:sz w:val="20"/>
          <w:szCs w:val="20"/>
        </w:rPr>
        <w:t xml:space="preserve"> </w:t>
      </w:r>
      <w:r w:rsidRPr="00373FD6">
        <w:rPr>
          <w:rFonts w:ascii="Arial" w:hAnsi="Arial" w:cs="Arial"/>
          <w:sz w:val="20"/>
          <w:szCs w:val="20"/>
        </w:rPr>
        <w:t xml:space="preserve">The margin of error is +/- 4%.  </w:t>
      </w:r>
    </w:p>
    <w:p w14:paraId="01BB7877" w14:textId="77777777" w:rsidR="00373FD6" w:rsidRDefault="00373FD6" w:rsidP="00F71AB9">
      <w:pPr>
        <w:spacing w:after="0" w:line="240" w:lineRule="auto"/>
        <w:contextualSpacing/>
        <w:rPr>
          <w:rFonts w:ascii="Arial" w:hAnsi="Arial" w:cs="Arial"/>
        </w:rPr>
      </w:pPr>
    </w:p>
    <w:p w14:paraId="0B9BAC31" w14:textId="77777777" w:rsidR="00373FD6" w:rsidRPr="000A0C14" w:rsidRDefault="00373FD6" w:rsidP="00F71AB9">
      <w:pPr>
        <w:spacing w:after="0" w:line="240" w:lineRule="auto"/>
        <w:contextualSpacing/>
        <w:rPr>
          <w:rFonts w:ascii="Arial" w:hAnsi="Arial" w:cs="Arial"/>
          <w:b/>
          <w:bCs/>
          <w:sz w:val="20"/>
          <w:szCs w:val="20"/>
        </w:rPr>
      </w:pPr>
      <w:r w:rsidRPr="000A0C14">
        <w:rPr>
          <w:rFonts w:ascii="Arial" w:hAnsi="Arial" w:cs="Arial"/>
          <w:b/>
          <w:bCs/>
          <w:sz w:val="20"/>
          <w:szCs w:val="20"/>
        </w:rPr>
        <w:t>About Arc Insights</w:t>
      </w:r>
    </w:p>
    <w:p w14:paraId="6E299BBB" w14:textId="40A469FB" w:rsidR="00373FD6" w:rsidRDefault="00373FD6" w:rsidP="00F71AB9">
      <w:pPr>
        <w:spacing w:after="0" w:line="240" w:lineRule="auto"/>
        <w:contextualSpacing/>
        <w:rPr>
          <w:rFonts w:ascii="Arial" w:hAnsi="Arial" w:cs="Arial"/>
          <w:sz w:val="20"/>
          <w:szCs w:val="20"/>
        </w:rPr>
      </w:pPr>
      <w:r w:rsidRPr="00CF1B71">
        <w:rPr>
          <w:rFonts w:ascii="Arial" w:hAnsi="Arial" w:cs="Arial"/>
          <w:sz w:val="20"/>
          <w:szCs w:val="20"/>
        </w:rPr>
        <w:t>Arc</w:t>
      </w:r>
      <w:r w:rsidRPr="000A0C14">
        <w:rPr>
          <w:rFonts w:ascii="Arial" w:hAnsi="Arial" w:cs="Arial"/>
          <w:sz w:val="20"/>
          <w:szCs w:val="20"/>
        </w:rPr>
        <w:t xml:space="preserve"> is a full-service research and consulting firm. The team at Arc has completed research projects across all 50 states, Europe, and Asia.  </w:t>
      </w:r>
      <w:r w:rsidR="00DB616F">
        <w:rPr>
          <w:rFonts w:ascii="Arial" w:hAnsi="Arial" w:cs="Arial"/>
          <w:sz w:val="20"/>
          <w:szCs w:val="20"/>
        </w:rPr>
        <w:t xml:space="preserve">Project </w:t>
      </w:r>
      <w:r w:rsidR="00687B25">
        <w:rPr>
          <w:rFonts w:ascii="Arial" w:hAnsi="Arial" w:cs="Arial"/>
          <w:sz w:val="20"/>
          <w:szCs w:val="20"/>
        </w:rPr>
        <w:t>leads</w:t>
      </w:r>
      <w:r w:rsidR="00DB616F">
        <w:rPr>
          <w:rFonts w:ascii="Arial" w:hAnsi="Arial" w:cs="Arial"/>
          <w:sz w:val="20"/>
          <w:szCs w:val="20"/>
        </w:rPr>
        <w:t xml:space="preserve"> were Nicholas Thompson and Tanner DeYoung.  </w:t>
      </w:r>
    </w:p>
    <w:p w14:paraId="211F9021" w14:textId="77777777" w:rsidR="00043E32" w:rsidRPr="00043E32" w:rsidRDefault="00043E32" w:rsidP="00043E32">
      <w:pPr>
        <w:rPr>
          <w:rFonts w:ascii="Arial" w:hAnsi="Arial" w:cs="Arial"/>
        </w:rPr>
      </w:pPr>
    </w:p>
    <w:p w14:paraId="4EA1E1F4" w14:textId="77777777" w:rsidR="00043E32" w:rsidRPr="00043E32" w:rsidRDefault="00043E32" w:rsidP="00043E32">
      <w:pPr>
        <w:rPr>
          <w:rFonts w:ascii="Arial" w:hAnsi="Arial" w:cs="Arial"/>
        </w:rPr>
      </w:pPr>
    </w:p>
    <w:p w14:paraId="714A6840" w14:textId="4E8E48D3" w:rsidR="00043E32" w:rsidRPr="00043E32" w:rsidRDefault="00043E32" w:rsidP="00043E32">
      <w:pPr>
        <w:tabs>
          <w:tab w:val="left" w:pos="9967"/>
        </w:tabs>
        <w:rPr>
          <w:rFonts w:ascii="Arial" w:hAnsi="Arial" w:cs="Arial"/>
        </w:rPr>
      </w:pPr>
      <w:r>
        <w:rPr>
          <w:rFonts w:ascii="Arial" w:hAnsi="Arial" w:cs="Arial"/>
        </w:rPr>
        <w:tab/>
      </w:r>
    </w:p>
    <w:sectPr w:rsidR="00043E32" w:rsidRPr="00043E32" w:rsidSect="00321D8E">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44BD" w14:textId="77777777" w:rsidR="00EA4D96" w:rsidRDefault="00EA4D96" w:rsidP="00573E4D">
      <w:pPr>
        <w:spacing w:after="0" w:line="240" w:lineRule="auto"/>
      </w:pPr>
      <w:r>
        <w:separator/>
      </w:r>
    </w:p>
  </w:endnote>
  <w:endnote w:type="continuationSeparator" w:id="0">
    <w:p w14:paraId="7ADDEA2F" w14:textId="77777777" w:rsidR="00EA4D96" w:rsidRDefault="00EA4D96" w:rsidP="00573E4D">
      <w:pPr>
        <w:spacing w:after="0" w:line="240" w:lineRule="auto"/>
      </w:pPr>
      <w:r>
        <w:continuationSeparator/>
      </w:r>
    </w:p>
  </w:endnote>
  <w:endnote w:type="continuationNotice" w:id="1">
    <w:p w14:paraId="5089FCBF" w14:textId="77777777" w:rsidR="00EA4D96" w:rsidRDefault="00EA4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86576"/>
      <w:docPartObj>
        <w:docPartGallery w:val="Page Numbers (Bottom of Page)"/>
        <w:docPartUnique/>
      </w:docPartObj>
    </w:sdtPr>
    <w:sdtEndPr>
      <w:rPr>
        <w:color w:val="7F7F7F" w:themeColor="background1" w:themeShade="7F"/>
        <w:spacing w:val="60"/>
        <w:sz w:val="20"/>
        <w:szCs w:val="20"/>
      </w:rPr>
    </w:sdtEndPr>
    <w:sdtContent>
      <w:p w14:paraId="65411E8F" w14:textId="583AD56B" w:rsidR="00573E4D" w:rsidRPr="00043E32" w:rsidRDefault="00573E4D" w:rsidP="00235E75">
        <w:pPr>
          <w:pStyle w:val="Footer"/>
          <w:pBdr>
            <w:top w:val="single" w:sz="4" w:space="1" w:color="D9D9D9" w:themeColor="background1" w:themeShade="D9"/>
          </w:pBdr>
          <w:jc w:val="right"/>
          <w:rPr>
            <w:sz w:val="20"/>
            <w:szCs w:val="20"/>
          </w:rPr>
        </w:pPr>
        <w:r w:rsidRPr="00043E32">
          <w:rPr>
            <w:rFonts w:ascii="Arial" w:hAnsi="Arial" w:cs="Arial"/>
            <w:sz w:val="18"/>
            <w:szCs w:val="18"/>
          </w:rPr>
          <w:fldChar w:fldCharType="begin"/>
        </w:r>
        <w:r w:rsidRPr="00043E32">
          <w:rPr>
            <w:rFonts w:ascii="Arial" w:hAnsi="Arial" w:cs="Arial"/>
            <w:sz w:val="18"/>
            <w:szCs w:val="18"/>
          </w:rPr>
          <w:instrText xml:space="preserve"> PAGE   \* MERGEFORMAT </w:instrText>
        </w:r>
        <w:r w:rsidRPr="00043E32">
          <w:rPr>
            <w:rFonts w:ascii="Arial" w:hAnsi="Arial" w:cs="Arial"/>
            <w:sz w:val="18"/>
            <w:szCs w:val="18"/>
          </w:rPr>
          <w:fldChar w:fldCharType="separate"/>
        </w:r>
        <w:r w:rsidRPr="00043E32">
          <w:rPr>
            <w:rFonts w:ascii="Arial" w:hAnsi="Arial" w:cs="Arial"/>
            <w:noProof/>
            <w:sz w:val="18"/>
            <w:szCs w:val="18"/>
          </w:rPr>
          <w:t>2</w:t>
        </w:r>
        <w:r w:rsidRPr="00043E32">
          <w:rPr>
            <w:rFonts w:ascii="Arial" w:hAnsi="Arial" w:cs="Arial"/>
            <w:noProof/>
            <w:sz w:val="18"/>
            <w:szCs w:val="18"/>
          </w:rPr>
          <w:fldChar w:fldCharType="end"/>
        </w:r>
        <w:r w:rsidRPr="00043E32">
          <w:rPr>
            <w:rFonts w:ascii="Arial" w:hAnsi="Arial" w:cs="Arial"/>
            <w:sz w:val="18"/>
            <w:szCs w:val="18"/>
          </w:rPr>
          <w:t xml:space="preserve"> | </w:t>
        </w:r>
        <w:r w:rsidRPr="00043E32">
          <w:rPr>
            <w:rFonts w:ascii="Arial" w:hAnsi="Arial" w:cs="Arial"/>
            <w:color w:val="7F7F7F" w:themeColor="background1" w:themeShade="7F"/>
            <w:spacing w:val="60"/>
            <w:sz w:val="18"/>
            <w:szCs w:val="18"/>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929023"/>
      <w:docPartObj>
        <w:docPartGallery w:val="Page Numbers (Bottom of Page)"/>
        <w:docPartUnique/>
      </w:docPartObj>
    </w:sdtPr>
    <w:sdtEndPr>
      <w:rPr>
        <w:color w:val="7F7F7F" w:themeColor="background1" w:themeShade="7F"/>
        <w:spacing w:val="60"/>
        <w:sz w:val="20"/>
        <w:szCs w:val="20"/>
      </w:rPr>
    </w:sdtEndPr>
    <w:sdtContent>
      <w:p w14:paraId="0F034201" w14:textId="77777777" w:rsidR="00B40E8C" w:rsidRPr="00583DEB" w:rsidRDefault="00B40E8C" w:rsidP="00B40E8C">
        <w:pPr>
          <w:pStyle w:val="Footer"/>
          <w:pBdr>
            <w:top w:val="single" w:sz="4" w:space="1" w:color="D9D9D9" w:themeColor="background1" w:themeShade="D9"/>
          </w:pBdr>
          <w:jc w:val="right"/>
          <w:rPr>
            <w:sz w:val="20"/>
            <w:szCs w:val="20"/>
          </w:rPr>
        </w:pPr>
        <w:r w:rsidRPr="00583DEB">
          <w:rPr>
            <w:rFonts w:ascii="Arial" w:hAnsi="Arial" w:cs="Arial"/>
            <w:sz w:val="18"/>
            <w:szCs w:val="18"/>
          </w:rPr>
          <w:fldChar w:fldCharType="begin"/>
        </w:r>
        <w:r w:rsidRPr="00583DEB">
          <w:rPr>
            <w:rFonts w:ascii="Arial" w:hAnsi="Arial" w:cs="Arial"/>
            <w:sz w:val="18"/>
            <w:szCs w:val="18"/>
          </w:rPr>
          <w:instrText xml:space="preserve"> PAGE   \* MERGEFORMAT </w:instrText>
        </w:r>
        <w:r w:rsidRPr="00583DEB">
          <w:rPr>
            <w:rFonts w:ascii="Arial" w:hAnsi="Arial" w:cs="Arial"/>
            <w:sz w:val="18"/>
            <w:szCs w:val="18"/>
          </w:rPr>
          <w:fldChar w:fldCharType="separate"/>
        </w:r>
        <w:r w:rsidRPr="00583DEB">
          <w:rPr>
            <w:rFonts w:ascii="Arial" w:hAnsi="Arial" w:cs="Arial"/>
            <w:sz w:val="18"/>
            <w:szCs w:val="18"/>
          </w:rPr>
          <w:t>3</w:t>
        </w:r>
        <w:r w:rsidRPr="00583DEB">
          <w:rPr>
            <w:rFonts w:ascii="Arial" w:hAnsi="Arial" w:cs="Arial"/>
            <w:noProof/>
            <w:sz w:val="18"/>
            <w:szCs w:val="18"/>
          </w:rPr>
          <w:fldChar w:fldCharType="end"/>
        </w:r>
        <w:r w:rsidRPr="00583DEB">
          <w:rPr>
            <w:rFonts w:ascii="Arial" w:hAnsi="Arial" w:cs="Arial"/>
            <w:sz w:val="18"/>
            <w:szCs w:val="18"/>
          </w:rPr>
          <w:t xml:space="preserve"> | </w:t>
        </w:r>
        <w:r w:rsidRPr="00583DEB">
          <w:rPr>
            <w:rFonts w:ascii="Arial" w:hAnsi="Arial" w:cs="Arial"/>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200B" w14:textId="77777777" w:rsidR="00EA4D96" w:rsidRDefault="00EA4D96" w:rsidP="00573E4D">
      <w:pPr>
        <w:spacing w:after="0" w:line="240" w:lineRule="auto"/>
      </w:pPr>
      <w:r>
        <w:separator/>
      </w:r>
    </w:p>
  </w:footnote>
  <w:footnote w:type="continuationSeparator" w:id="0">
    <w:p w14:paraId="47A8AA09" w14:textId="77777777" w:rsidR="00EA4D96" w:rsidRDefault="00EA4D96" w:rsidP="00573E4D">
      <w:pPr>
        <w:spacing w:after="0" w:line="240" w:lineRule="auto"/>
      </w:pPr>
      <w:r>
        <w:continuationSeparator/>
      </w:r>
    </w:p>
  </w:footnote>
  <w:footnote w:type="continuationNotice" w:id="1">
    <w:p w14:paraId="29B5451B" w14:textId="77777777" w:rsidR="00EA4D96" w:rsidRDefault="00EA4D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1276"/>
    <w:multiLevelType w:val="hybridMultilevel"/>
    <w:tmpl w:val="B44430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70724D"/>
    <w:multiLevelType w:val="hybridMultilevel"/>
    <w:tmpl w:val="05D416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71D67"/>
    <w:multiLevelType w:val="hybridMultilevel"/>
    <w:tmpl w:val="86A01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70CA2"/>
    <w:multiLevelType w:val="hybridMultilevel"/>
    <w:tmpl w:val="8E5CD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479E9"/>
    <w:multiLevelType w:val="hybridMultilevel"/>
    <w:tmpl w:val="410CEF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80900"/>
    <w:multiLevelType w:val="hybridMultilevel"/>
    <w:tmpl w:val="F6304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84735"/>
    <w:multiLevelType w:val="hybridMultilevel"/>
    <w:tmpl w:val="FE20B4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1B354A"/>
    <w:multiLevelType w:val="hybridMultilevel"/>
    <w:tmpl w:val="18A03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305279">
    <w:abstractNumId w:val="1"/>
  </w:num>
  <w:num w:numId="2" w16cid:durableId="1004868330">
    <w:abstractNumId w:val="3"/>
  </w:num>
  <w:num w:numId="3" w16cid:durableId="964845596">
    <w:abstractNumId w:val="6"/>
  </w:num>
  <w:num w:numId="4" w16cid:durableId="955253487">
    <w:abstractNumId w:val="4"/>
  </w:num>
  <w:num w:numId="5" w16cid:durableId="1063795007">
    <w:abstractNumId w:val="7"/>
  </w:num>
  <w:num w:numId="6" w16cid:durableId="340009383">
    <w:abstractNumId w:val="2"/>
  </w:num>
  <w:num w:numId="7" w16cid:durableId="842549306">
    <w:abstractNumId w:val="0"/>
  </w:num>
  <w:num w:numId="8" w16cid:durableId="191304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F9"/>
    <w:rsid w:val="00042710"/>
    <w:rsid w:val="00043E32"/>
    <w:rsid w:val="0008233F"/>
    <w:rsid w:val="00082B44"/>
    <w:rsid w:val="000918FA"/>
    <w:rsid w:val="000E2CC1"/>
    <w:rsid w:val="000E38CF"/>
    <w:rsid w:val="00104976"/>
    <w:rsid w:val="00121B36"/>
    <w:rsid w:val="00145C7E"/>
    <w:rsid w:val="00185E77"/>
    <w:rsid w:val="00192E36"/>
    <w:rsid w:val="00193509"/>
    <w:rsid w:val="00195921"/>
    <w:rsid w:val="001B1269"/>
    <w:rsid w:val="001E1CE5"/>
    <w:rsid w:val="001F4101"/>
    <w:rsid w:val="0021705C"/>
    <w:rsid w:val="00235E75"/>
    <w:rsid w:val="0025166B"/>
    <w:rsid w:val="0026399D"/>
    <w:rsid w:val="00273022"/>
    <w:rsid w:val="00276EA2"/>
    <w:rsid w:val="00277FD5"/>
    <w:rsid w:val="002A0B20"/>
    <w:rsid w:val="002A3EC8"/>
    <w:rsid w:val="003064C5"/>
    <w:rsid w:val="00311B98"/>
    <w:rsid w:val="00321D8E"/>
    <w:rsid w:val="00342122"/>
    <w:rsid w:val="00352E48"/>
    <w:rsid w:val="00357FFD"/>
    <w:rsid w:val="00360FEC"/>
    <w:rsid w:val="00373FD6"/>
    <w:rsid w:val="00377340"/>
    <w:rsid w:val="00385D9A"/>
    <w:rsid w:val="003B1B89"/>
    <w:rsid w:val="003B3E86"/>
    <w:rsid w:val="003E599E"/>
    <w:rsid w:val="00404B5B"/>
    <w:rsid w:val="0042489A"/>
    <w:rsid w:val="00442F81"/>
    <w:rsid w:val="0045381A"/>
    <w:rsid w:val="004555A4"/>
    <w:rsid w:val="0048113F"/>
    <w:rsid w:val="00486A63"/>
    <w:rsid w:val="0049518B"/>
    <w:rsid w:val="004A1C22"/>
    <w:rsid w:val="004C4B9A"/>
    <w:rsid w:val="004C5761"/>
    <w:rsid w:val="004D3126"/>
    <w:rsid w:val="004E1787"/>
    <w:rsid w:val="00503F64"/>
    <w:rsid w:val="00506C9F"/>
    <w:rsid w:val="00512933"/>
    <w:rsid w:val="00514EBA"/>
    <w:rsid w:val="0051529C"/>
    <w:rsid w:val="0052302D"/>
    <w:rsid w:val="00532DEF"/>
    <w:rsid w:val="005356E1"/>
    <w:rsid w:val="00553E14"/>
    <w:rsid w:val="00554FD6"/>
    <w:rsid w:val="00562B9E"/>
    <w:rsid w:val="00570EE0"/>
    <w:rsid w:val="00573E4D"/>
    <w:rsid w:val="00583DEB"/>
    <w:rsid w:val="005B0CB5"/>
    <w:rsid w:val="005E08D8"/>
    <w:rsid w:val="005E4B2E"/>
    <w:rsid w:val="0060464C"/>
    <w:rsid w:val="00615119"/>
    <w:rsid w:val="00651F3A"/>
    <w:rsid w:val="00664714"/>
    <w:rsid w:val="00682EDA"/>
    <w:rsid w:val="00687B25"/>
    <w:rsid w:val="006B0B15"/>
    <w:rsid w:val="006C63C4"/>
    <w:rsid w:val="006E6EA8"/>
    <w:rsid w:val="006F01FE"/>
    <w:rsid w:val="0071446A"/>
    <w:rsid w:val="00725C9B"/>
    <w:rsid w:val="0074601A"/>
    <w:rsid w:val="00753146"/>
    <w:rsid w:val="00774D9E"/>
    <w:rsid w:val="007C71F2"/>
    <w:rsid w:val="007F451E"/>
    <w:rsid w:val="00834D59"/>
    <w:rsid w:val="00867530"/>
    <w:rsid w:val="00895F08"/>
    <w:rsid w:val="008F5E36"/>
    <w:rsid w:val="00903B9E"/>
    <w:rsid w:val="00946902"/>
    <w:rsid w:val="00986CD0"/>
    <w:rsid w:val="009A6ACE"/>
    <w:rsid w:val="009B7BC1"/>
    <w:rsid w:val="009F71E7"/>
    <w:rsid w:val="00A10816"/>
    <w:rsid w:val="00A21AAC"/>
    <w:rsid w:val="00A27E3D"/>
    <w:rsid w:val="00A473BB"/>
    <w:rsid w:val="00A71F7E"/>
    <w:rsid w:val="00A90B46"/>
    <w:rsid w:val="00AA111F"/>
    <w:rsid w:val="00AA325D"/>
    <w:rsid w:val="00AA6D58"/>
    <w:rsid w:val="00AB1EE1"/>
    <w:rsid w:val="00AC366F"/>
    <w:rsid w:val="00AD49C2"/>
    <w:rsid w:val="00AD60EA"/>
    <w:rsid w:val="00AE011A"/>
    <w:rsid w:val="00AE6430"/>
    <w:rsid w:val="00AF1B76"/>
    <w:rsid w:val="00B13E8F"/>
    <w:rsid w:val="00B20E8F"/>
    <w:rsid w:val="00B40E8C"/>
    <w:rsid w:val="00B4684C"/>
    <w:rsid w:val="00BD78EA"/>
    <w:rsid w:val="00C31DF0"/>
    <w:rsid w:val="00C41AC7"/>
    <w:rsid w:val="00C464C6"/>
    <w:rsid w:val="00C51315"/>
    <w:rsid w:val="00C52510"/>
    <w:rsid w:val="00CC328B"/>
    <w:rsid w:val="00CC6882"/>
    <w:rsid w:val="00CE18CA"/>
    <w:rsid w:val="00CF2405"/>
    <w:rsid w:val="00D1117F"/>
    <w:rsid w:val="00D2102D"/>
    <w:rsid w:val="00D41498"/>
    <w:rsid w:val="00D417F9"/>
    <w:rsid w:val="00D640D6"/>
    <w:rsid w:val="00D7676C"/>
    <w:rsid w:val="00D85B2C"/>
    <w:rsid w:val="00DB616F"/>
    <w:rsid w:val="00DD4398"/>
    <w:rsid w:val="00DE6475"/>
    <w:rsid w:val="00DF2C06"/>
    <w:rsid w:val="00E0191B"/>
    <w:rsid w:val="00E21523"/>
    <w:rsid w:val="00E46218"/>
    <w:rsid w:val="00E84CB7"/>
    <w:rsid w:val="00E940A4"/>
    <w:rsid w:val="00EA4D96"/>
    <w:rsid w:val="00EB5A5D"/>
    <w:rsid w:val="00EC08E1"/>
    <w:rsid w:val="00ED3529"/>
    <w:rsid w:val="00EF73A2"/>
    <w:rsid w:val="00F1580D"/>
    <w:rsid w:val="00F4067D"/>
    <w:rsid w:val="00F669C5"/>
    <w:rsid w:val="00F71AB9"/>
    <w:rsid w:val="00F958B4"/>
    <w:rsid w:val="00FB39A7"/>
    <w:rsid w:val="00FC3FB6"/>
    <w:rsid w:val="00FC7341"/>
    <w:rsid w:val="00FF25BC"/>
    <w:rsid w:val="00FF4DD4"/>
    <w:rsid w:val="00FF584E"/>
    <w:rsid w:val="00FF6086"/>
    <w:rsid w:val="038B1F96"/>
    <w:rsid w:val="4F515F8F"/>
    <w:rsid w:val="540CD7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8EC8"/>
  <w15:chartTrackingRefBased/>
  <w15:docId w15:val="{F8C8811D-27A5-4F9E-B3A4-F983F090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B9E"/>
    <w:pPr>
      <w:ind w:left="720"/>
      <w:contextualSpacing/>
    </w:pPr>
  </w:style>
  <w:style w:type="paragraph" w:styleId="Revision">
    <w:name w:val="Revision"/>
    <w:hidden/>
    <w:uiPriority w:val="99"/>
    <w:semiHidden/>
    <w:rsid w:val="00A473BB"/>
    <w:pPr>
      <w:spacing w:after="0" w:line="240" w:lineRule="auto"/>
    </w:pPr>
  </w:style>
  <w:style w:type="paragraph" w:styleId="Header">
    <w:name w:val="header"/>
    <w:basedOn w:val="Normal"/>
    <w:link w:val="HeaderChar"/>
    <w:uiPriority w:val="99"/>
    <w:unhideWhenUsed/>
    <w:rsid w:val="0057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4D"/>
  </w:style>
  <w:style w:type="paragraph" w:styleId="Footer">
    <w:name w:val="footer"/>
    <w:basedOn w:val="Normal"/>
    <w:link w:val="FooterChar"/>
    <w:uiPriority w:val="99"/>
    <w:unhideWhenUsed/>
    <w:rsid w:val="0057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4D"/>
  </w:style>
  <w:style w:type="character" w:styleId="CommentReference">
    <w:name w:val="annotation reference"/>
    <w:basedOn w:val="DefaultParagraphFont"/>
    <w:uiPriority w:val="99"/>
    <w:semiHidden/>
    <w:unhideWhenUsed/>
    <w:rsid w:val="00E46218"/>
    <w:rPr>
      <w:sz w:val="16"/>
      <w:szCs w:val="16"/>
    </w:rPr>
  </w:style>
  <w:style w:type="paragraph" w:styleId="CommentText">
    <w:name w:val="annotation text"/>
    <w:basedOn w:val="Normal"/>
    <w:link w:val="CommentTextChar"/>
    <w:uiPriority w:val="99"/>
    <w:unhideWhenUsed/>
    <w:rsid w:val="00E46218"/>
    <w:pPr>
      <w:spacing w:line="240" w:lineRule="auto"/>
    </w:pPr>
    <w:rPr>
      <w:sz w:val="20"/>
      <w:szCs w:val="20"/>
    </w:rPr>
  </w:style>
  <w:style w:type="character" w:customStyle="1" w:styleId="CommentTextChar">
    <w:name w:val="Comment Text Char"/>
    <w:basedOn w:val="DefaultParagraphFont"/>
    <w:link w:val="CommentText"/>
    <w:uiPriority w:val="99"/>
    <w:rsid w:val="00E46218"/>
    <w:rPr>
      <w:sz w:val="20"/>
      <w:szCs w:val="20"/>
    </w:rPr>
  </w:style>
  <w:style w:type="paragraph" w:styleId="CommentSubject">
    <w:name w:val="annotation subject"/>
    <w:basedOn w:val="CommentText"/>
    <w:next w:val="CommentText"/>
    <w:link w:val="CommentSubjectChar"/>
    <w:uiPriority w:val="99"/>
    <w:semiHidden/>
    <w:unhideWhenUsed/>
    <w:rsid w:val="00E46218"/>
    <w:rPr>
      <w:b/>
      <w:bCs/>
    </w:rPr>
  </w:style>
  <w:style w:type="character" w:customStyle="1" w:styleId="CommentSubjectChar">
    <w:name w:val="Comment Subject Char"/>
    <w:basedOn w:val="CommentTextChar"/>
    <w:link w:val="CommentSubject"/>
    <w:uiPriority w:val="99"/>
    <w:semiHidden/>
    <w:rsid w:val="00E46218"/>
    <w:rPr>
      <w:b/>
      <w:bCs/>
      <w:sz w:val="20"/>
      <w:szCs w:val="20"/>
    </w:rPr>
  </w:style>
  <w:style w:type="table" w:styleId="TableGrid">
    <w:name w:val="Table Grid"/>
    <w:basedOn w:val="TableNormal"/>
    <w:uiPriority w:val="39"/>
    <w:rsid w:val="009B7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Candara" panose="020E0502030303020204" pitchFamily="34" charset="0"/>
                <a:ea typeface="+mn-ea"/>
                <a:cs typeface="Arial" panose="020B0604020202020204" pitchFamily="34" charset="0"/>
              </a:defRPr>
            </a:pPr>
            <a:r>
              <a:rPr lang="en-US" sz="1050">
                <a:solidFill>
                  <a:sysClr val="windowText" lastClr="000000"/>
                </a:solidFill>
              </a:rPr>
              <a:t>Do you support or oppose school choice, where the parent, instead of the government, is allowed to choose the best school for their child? </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Candara" panose="020E0502030303020204" pitchFamily="34" charset="0"/>
              <a:ea typeface="+mn-ea"/>
              <a:cs typeface="Arial" panose="020B0604020202020204" pitchFamily="34" charset="0"/>
            </a:defRPr>
          </a:pPr>
          <a:endParaRPr lang="en-US"/>
        </a:p>
      </c:txPr>
    </c:title>
    <c:autoTitleDeleted val="0"/>
    <c:plotArea>
      <c:layout>
        <c:manualLayout>
          <c:layoutTarget val="inner"/>
          <c:xMode val="edge"/>
          <c:yMode val="edge"/>
          <c:x val="9.7763415800569839E-2"/>
          <c:y val="0.16621207904258281"/>
          <c:w val="0.87871220438762521"/>
          <c:h val="0.67792930698580578"/>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Candara" panose="020E0502030303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Unsure</c:v>
                </c:pt>
                <c:pt idx="1">
                  <c:v>Oppose</c:v>
                </c:pt>
                <c:pt idx="2">
                  <c:v>Support</c:v>
                </c:pt>
              </c:strCache>
            </c:strRef>
          </c:cat>
          <c:val>
            <c:numRef>
              <c:f>Sheet1!$B$2:$B$4</c:f>
              <c:numCache>
                <c:formatCode>0%</c:formatCode>
                <c:ptCount val="3"/>
                <c:pt idx="0">
                  <c:v>0.05</c:v>
                </c:pt>
                <c:pt idx="1">
                  <c:v>0.16</c:v>
                </c:pt>
                <c:pt idx="2">
                  <c:v>0.79</c:v>
                </c:pt>
              </c:numCache>
            </c:numRef>
          </c:val>
          <c:extLst>
            <c:ext xmlns:c16="http://schemas.microsoft.com/office/drawing/2014/chart" uri="{C3380CC4-5D6E-409C-BE32-E72D297353CC}">
              <c16:uniqueId val="{00000000-5AD1-4FB0-9EED-23A424AAC55F}"/>
            </c:ext>
          </c:extLst>
        </c:ser>
        <c:dLbls>
          <c:showLegendKey val="0"/>
          <c:showVal val="0"/>
          <c:showCatName val="0"/>
          <c:showSerName val="0"/>
          <c:showPercent val="0"/>
          <c:showBubbleSize val="0"/>
        </c:dLbls>
        <c:gapWidth val="182"/>
        <c:axId val="1217530576"/>
        <c:axId val="1216334704"/>
      </c:barChart>
      <c:catAx>
        <c:axId val="1217530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ndara" panose="020E0502030303020204" pitchFamily="34" charset="0"/>
                <a:ea typeface="+mn-ea"/>
                <a:cs typeface="Arial" panose="020B0604020202020204" pitchFamily="34" charset="0"/>
              </a:defRPr>
            </a:pPr>
            <a:endParaRPr lang="en-US"/>
          </a:p>
        </c:txPr>
        <c:crossAx val="1216334704"/>
        <c:crosses val="autoZero"/>
        <c:auto val="1"/>
        <c:lblAlgn val="ctr"/>
        <c:lblOffset val="100"/>
        <c:noMultiLvlLbl val="0"/>
      </c:catAx>
      <c:valAx>
        <c:axId val="1216334704"/>
        <c:scaling>
          <c:orientation val="minMax"/>
        </c:scaling>
        <c:delete val="1"/>
        <c:axPos val="b"/>
        <c:numFmt formatCode="0%" sourceLinked="1"/>
        <c:majorTickMark val="none"/>
        <c:minorTickMark val="none"/>
        <c:tickLblPos val="nextTo"/>
        <c:crossAx val="121753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latin typeface="Candara" panose="020E0502030303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49361535086706"/>
          <c:y val="7.2974140944246382E-2"/>
          <c:w val="0.87871220438762521"/>
          <c:h val="0.92674496196450018"/>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Candara" panose="020E0502030303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Unsure</c:v>
                </c:pt>
                <c:pt idx="1">
                  <c:v>Oppose</c:v>
                </c:pt>
                <c:pt idx="2">
                  <c:v>Support</c:v>
                </c:pt>
              </c:strCache>
            </c:strRef>
          </c:cat>
          <c:val>
            <c:numRef>
              <c:f>Sheet1!$B$2:$B$4</c:f>
              <c:numCache>
                <c:formatCode>0%</c:formatCode>
                <c:ptCount val="3"/>
                <c:pt idx="0">
                  <c:v>0.1</c:v>
                </c:pt>
                <c:pt idx="1">
                  <c:v>0.17</c:v>
                </c:pt>
                <c:pt idx="2">
                  <c:v>0.73</c:v>
                </c:pt>
              </c:numCache>
            </c:numRef>
          </c:val>
          <c:extLst>
            <c:ext xmlns:c16="http://schemas.microsoft.com/office/drawing/2014/chart" uri="{C3380CC4-5D6E-409C-BE32-E72D297353CC}">
              <c16:uniqueId val="{00000000-4FE3-4149-A47F-5E54DFCB5C96}"/>
            </c:ext>
          </c:extLst>
        </c:ser>
        <c:dLbls>
          <c:showLegendKey val="0"/>
          <c:showVal val="0"/>
          <c:showCatName val="0"/>
          <c:showSerName val="0"/>
          <c:showPercent val="0"/>
          <c:showBubbleSize val="0"/>
        </c:dLbls>
        <c:gapWidth val="182"/>
        <c:axId val="1217530576"/>
        <c:axId val="1216334704"/>
      </c:barChart>
      <c:catAx>
        <c:axId val="1217530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ndara" panose="020E0502030303020204" pitchFamily="34" charset="0"/>
                <a:ea typeface="+mn-ea"/>
                <a:cs typeface="Arial" panose="020B0604020202020204" pitchFamily="34" charset="0"/>
              </a:defRPr>
            </a:pPr>
            <a:endParaRPr lang="en-US"/>
          </a:p>
        </c:txPr>
        <c:crossAx val="1216334704"/>
        <c:crosses val="autoZero"/>
        <c:auto val="1"/>
        <c:lblAlgn val="ctr"/>
        <c:lblOffset val="100"/>
        <c:noMultiLvlLbl val="0"/>
      </c:catAx>
      <c:valAx>
        <c:axId val="1216334704"/>
        <c:scaling>
          <c:orientation val="minMax"/>
        </c:scaling>
        <c:delete val="1"/>
        <c:axPos val="b"/>
        <c:numFmt formatCode="0%" sourceLinked="1"/>
        <c:majorTickMark val="none"/>
        <c:minorTickMark val="none"/>
        <c:tickLblPos val="nextTo"/>
        <c:crossAx val="121753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threePt" dir="t"/>
              </a:scene3d>
            </c:spPr>
            <c:extLst>
              <c:ext xmlns:c16="http://schemas.microsoft.com/office/drawing/2014/chart" uri="{C3380CC4-5D6E-409C-BE32-E72D297353CC}">
                <c16:uniqueId val="{00000001-2383-4759-B4CA-994D0F3DF835}"/>
              </c:ext>
            </c:extLst>
          </c:dPt>
          <c:dPt>
            <c:idx val="1"/>
            <c:bubble3D val="0"/>
            <c:spPr>
              <a:solidFill>
                <a:schemeClr val="bg1">
                  <a:lumMod val="65000"/>
                </a:schemeClr>
              </a:solidFill>
              <a:ln>
                <a:solidFill>
                  <a:schemeClr val="bg1">
                    <a:lumMod val="65000"/>
                  </a:schemeClr>
                </a:solidFill>
              </a:ln>
              <a:effectLst/>
              <a:scene3d>
                <a:camera prst="orthographicFront"/>
                <a:lightRig rig="threePt" dir="t"/>
              </a:scene3d>
            </c:spPr>
            <c:extLst>
              <c:ext xmlns:c16="http://schemas.microsoft.com/office/drawing/2014/chart" uri="{C3380CC4-5D6E-409C-BE32-E72D297353CC}">
                <c16:uniqueId val="{00000003-2383-4759-B4CA-994D0F3DF835}"/>
              </c:ext>
            </c:extLst>
          </c:dPt>
          <c:dPt>
            <c:idx val="2"/>
            <c:bubble3D val="0"/>
            <c:spPr>
              <a:solidFill>
                <a:schemeClr val="accent5"/>
              </a:solidFill>
              <a:ln>
                <a:noFill/>
              </a:ln>
              <a:effectLst/>
              <a:scene3d>
                <a:camera prst="orthographicFront"/>
                <a:lightRig rig="threePt" dir="t"/>
              </a:scene3d>
            </c:spPr>
            <c:extLst>
              <c:ext xmlns:c16="http://schemas.microsoft.com/office/drawing/2014/chart" uri="{C3380CC4-5D6E-409C-BE32-E72D297353CC}">
                <c16:uniqueId val="{00000005-2383-4759-B4CA-994D0F3DF835}"/>
              </c:ext>
            </c:extLst>
          </c:dPt>
          <c:dLbls>
            <c:dLbl>
              <c:idx val="0"/>
              <c:layout>
                <c:manualLayout>
                  <c:x val="-9.2592592592593437E-3"/>
                  <c:y val="2.3809523809523808E-2"/>
                </c:manualLayout>
              </c:layout>
              <c:tx>
                <c:rich>
                  <a:bodyPr/>
                  <a:lstStyle/>
                  <a:p>
                    <a:fld id="{28AC2FBC-5F66-4FAC-8370-76BF529FB3C9}" type="CATEGORYNAME">
                      <a:rPr lang="en-US"/>
                      <a:pPr/>
                      <a:t>[CATEGORY NAME]</a:t>
                    </a:fld>
                    <a:r>
                      <a:rPr lang="en-US" baseline="0"/>
                      <a:t>
73%</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383-4759-B4CA-994D0F3DF835}"/>
                </c:ext>
              </c:extLst>
            </c:dLbl>
            <c:dLbl>
              <c:idx val="1"/>
              <c:layout>
                <c:manualLayout>
                  <c:x val="9.2592592592592171E-3"/>
                  <c:y val="1.587301587301587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383-4759-B4CA-994D0F3DF83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solidFill>
                    <a:latin typeface="Candara" panose="020E0502030303020204" pitchFamily="34"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Support</c:v>
                </c:pt>
                <c:pt idx="1">
                  <c:v>Oppose</c:v>
                </c:pt>
                <c:pt idx="2">
                  <c:v>Unsure</c:v>
                </c:pt>
              </c:strCache>
            </c:strRef>
          </c:cat>
          <c:val>
            <c:numRef>
              <c:f>Sheet1!$B$2:$B$4</c:f>
              <c:numCache>
                <c:formatCode>0%</c:formatCode>
                <c:ptCount val="3"/>
                <c:pt idx="0">
                  <c:v>0.73</c:v>
                </c:pt>
                <c:pt idx="1">
                  <c:v>0.19</c:v>
                </c:pt>
                <c:pt idx="2">
                  <c:v>7.0000000000000007E-2</c:v>
                </c:pt>
              </c:numCache>
            </c:numRef>
          </c:val>
          <c:extLst>
            <c:ext xmlns:c16="http://schemas.microsoft.com/office/drawing/2014/chart" uri="{C3380CC4-5D6E-409C-BE32-E72D297353CC}">
              <c16:uniqueId val="{00000006-2383-4759-B4CA-994D0F3DF835}"/>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Thompson</dc:creator>
  <cp:keywords/>
  <dc:description/>
  <cp:lastModifiedBy>Scott Foster</cp:lastModifiedBy>
  <cp:revision>71</cp:revision>
  <cp:lastPrinted>2023-12-06T17:01:00Z</cp:lastPrinted>
  <dcterms:created xsi:type="dcterms:W3CDTF">2023-12-06T15:24:00Z</dcterms:created>
  <dcterms:modified xsi:type="dcterms:W3CDTF">2023-12-07T17:44:00Z</dcterms:modified>
</cp:coreProperties>
</file>